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539"/>
        <w:gridCol w:w="3828"/>
      </w:tblGrid>
      <w:tr w:rsidR="00E32BA6" w:rsidRPr="00E32BA6" w:rsidTr="00C57ACF">
        <w:trPr>
          <w:trHeight w:val="519"/>
        </w:trPr>
        <w:tc>
          <w:tcPr>
            <w:tcW w:w="585" w:type="dxa"/>
            <w:vAlign w:val="center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32BA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9" w:type="dxa"/>
            <w:vAlign w:val="center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32BA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828" w:type="dxa"/>
            <w:vAlign w:val="center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32BA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Adres(y) Wykonawcy(ów),</w:t>
            </w:r>
          </w:p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32BA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nr telefonu, adres e-mail </w:t>
            </w:r>
          </w:p>
        </w:tc>
      </w:tr>
      <w:tr w:rsidR="00E32BA6" w:rsidRPr="00E32BA6" w:rsidTr="00C57ACF">
        <w:trPr>
          <w:trHeight w:val="555"/>
        </w:trPr>
        <w:tc>
          <w:tcPr>
            <w:tcW w:w="585" w:type="dxa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9" w:type="dxa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E32BA6" w:rsidRPr="00E32BA6" w:rsidRDefault="00E32BA6" w:rsidP="00C57AC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</w:tc>
      </w:tr>
    </w:tbl>
    <w:p w:rsidR="00E32BA6" w:rsidRPr="00C57ACF" w:rsidRDefault="00C57ACF" w:rsidP="00C57ACF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C57AC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Załącznik nr 1 do Zapytań i odpowiedzi nr 3, 4 i 5 +Modyfikacji 5 SIWZ –</w:t>
      </w:r>
    </w:p>
    <w:p w:rsidR="00C57ACF" w:rsidRPr="00C57ACF" w:rsidRDefault="00C57ACF" w:rsidP="00C57ACF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C57AC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Zmodyfikowany formularz ofertowy</w:t>
      </w:r>
    </w:p>
    <w:p w:rsidR="00C57ACF" w:rsidRDefault="00C57ACF" w:rsidP="00C57AC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57ACF" w:rsidRPr="00E32BA6" w:rsidRDefault="00C57ACF" w:rsidP="00C57AC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32BA6" w:rsidRPr="00E32BA6" w:rsidRDefault="00E32BA6" w:rsidP="00E32BA6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029929"/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FORMULARZ OFERTOWY</w:t>
      </w:r>
    </w:p>
    <w:p w:rsidR="00E32BA6" w:rsidRPr="00E32BA6" w:rsidRDefault="00E32BA6" w:rsidP="00E32BA6">
      <w:pPr>
        <w:widowControl w:val="0"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GMINA MIASTO KOSZALIN</w:t>
      </w:r>
    </w:p>
    <w:p w:rsidR="00E32BA6" w:rsidRPr="00E32BA6" w:rsidRDefault="00E32BA6" w:rsidP="00E32BA6">
      <w:pPr>
        <w:widowControl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32BA6" w:rsidRPr="00E32BA6" w:rsidRDefault="00E32BA6" w:rsidP="00E32B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Nawiązując do ogłoszenia o przetargu nieograniczonym na:</w:t>
      </w:r>
    </w:p>
    <w:p w:rsidR="00E32BA6" w:rsidRPr="00E32BA6" w:rsidRDefault="00E32BA6" w:rsidP="00E32B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Świadczenie kompleksowej usługi (zorganizowanie, bieżące zarządzanie i eksploatacja) użyteczności publicznej pasażerskiego transportu rowerowego polegającej na umożliwieniu wypożyczenia (pobrania i zwrotu) roweru w ramach systemu Koszalińskiego Roweru Miejskiego (KRM) – II etap kontynuacja.</w:t>
      </w:r>
    </w:p>
    <w:p w:rsidR="00E32BA6" w:rsidRPr="00E32BA6" w:rsidRDefault="00E32BA6" w:rsidP="00E32BA6">
      <w:pPr>
        <w:spacing w:after="8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składamy niniejszą ofertę i oferujemy wykonanie przedmiotu zamówienia zgodnie z wymogami zawartymi w specyfikacji istotnych warunków zamówienia</w:t>
      </w:r>
      <w:r w:rsidRPr="00E32BA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</w:p>
    <w:p w:rsidR="00E32BA6" w:rsidRPr="00E32BA6" w:rsidRDefault="00E32BA6" w:rsidP="00E32BA6">
      <w:pPr>
        <w:widowControl w:val="0"/>
        <w:tabs>
          <w:tab w:val="num" w:pos="0"/>
        </w:tabs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za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cenę</w:t>
      </w:r>
      <w:r w:rsidRPr="00E32BA6">
        <w:rPr>
          <w:rFonts w:ascii="Segoe UI" w:eastAsia="Times New Roman" w:hAnsi="Segoe UI" w:cs="Segoe UI"/>
          <w:b/>
          <w:sz w:val="20"/>
          <w:szCs w:val="20"/>
          <w:vertAlign w:val="superscript"/>
          <w:lang w:eastAsia="pl-PL"/>
        </w:rPr>
        <w:t>*</w:t>
      </w: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..............................................zł,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........................................................................................................................................................,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32BA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E32BA6">
        <w:rPr>
          <w:rFonts w:ascii="Calibri" w:eastAsia="Times New Roman" w:hAnsi="Calibri" w:cs="Times New Roman"/>
          <w:bCs/>
          <w:i/>
          <w:iCs/>
          <w:sz w:val="20"/>
          <w:szCs w:val="20"/>
          <w:lang w:eastAsia="pl-PL"/>
        </w:rPr>
        <w:t xml:space="preserve">(*  cena – obejmuje wszystkie należne podatki, w tym podatek VAT) 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32BA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</w:p>
    <w:p w:rsidR="00E32BA6" w:rsidRPr="00E32BA6" w:rsidRDefault="00E32BA6" w:rsidP="00E32BA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i/>
          <w:sz w:val="20"/>
          <w:szCs w:val="20"/>
          <w:lang w:eastAsia="pl-PL"/>
        </w:rPr>
        <w:t>obliczoną na podstawie poniższej tabeli:</w:t>
      </w: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12"/>
        <w:gridCol w:w="1574"/>
        <w:gridCol w:w="1960"/>
        <w:gridCol w:w="2627"/>
      </w:tblGrid>
      <w:tr w:rsidR="00E32BA6" w:rsidRPr="00E32BA6" w:rsidTr="0035632A">
        <w:trPr>
          <w:trHeight w:val="1488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L.p.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Rok realizacji zamówienia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Liczba dni</w:t>
            </w: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br/>
              <w:t xml:space="preserve"> lub miesięcy podczas, których będzie wykonywana usługa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Miesięczne wynagrodzenie ryczałtowe brutto za realizację usługi (zł)*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Całkowite wynagrodzenie</w:t>
            </w:r>
          </w:p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</w:p>
        </w:tc>
      </w:tr>
      <w:tr w:rsidR="00E32BA6" w:rsidRPr="00E32BA6" w:rsidTr="0035632A">
        <w:trPr>
          <w:trHeight w:val="281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  <w:tc>
          <w:tcPr>
            <w:tcW w:w="3112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Kolumna nr 1</w:t>
            </w:r>
          </w:p>
        </w:tc>
        <w:tc>
          <w:tcPr>
            <w:tcW w:w="1574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Kolumna nr 2</w:t>
            </w:r>
          </w:p>
        </w:tc>
        <w:tc>
          <w:tcPr>
            <w:tcW w:w="1960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Kolumna nr 3</w:t>
            </w: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Kolumna nr 4</w:t>
            </w:r>
          </w:p>
        </w:tc>
      </w:tr>
      <w:tr w:rsidR="00E32BA6" w:rsidRPr="00E32BA6" w:rsidTr="00C57ACF">
        <w:trPr>
          <w:trHeight w:val="717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1.1</w:t>
            </w:r>
          </w:p>
        </w:tc>
        <w:tc>
          <w:tcPr>
            <w:tcW w:w="3112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2021 (I sezon - od 20 maja do 31 maja)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12 dni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[(kolumna nr 3 : 31 dni) x 12 dni]</w:t>
            </w:r>
          </w:p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Calibri" w:eastAsia="Calibri" w:hAnsi="Calibri" w:cs="Segoe UI"/>
                <w:b/>
                <w:kern w:val="2"/>
                <w:lang w:bidi="hi-IN"/>
              </w:rPr>
            </w:pPr>
          </w:p>
        </w:tc>
      </w:tr>
      <w:tr w:rsidR="00E32BA6" w:rsidRPr="00E32BA6" w:rsidTr="00C57ACF">
        <w:trPr>
          <w:trHeight w:val="686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  <w:t>1.2</w:t>
            </w:r>
          </w:p>
        </w:tc>
        <w:tc>
          <w:tcPr>
            <w:tcW w:w="3112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2021 (I sezon - od 1 czerwca do 30 listopada)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  <w:t>6 miesięcy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[kolumna nr 2 x kolumna nr 3]</w:t>
            </w:r>
          </w:p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</w:tr>
      <w:tr w:rsidR="00E32BA6" w:rsidRPr="00E32BA6" w:rsidTr="00C57ACF">
        <w:trPr>
          <w:trHeight w:val="710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2022 (II sezon - od 1 marca do 30 listopada)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9 miesięcy</w:t>
            </w:r>
          </w:p>
        </w:tc>
        <w:tc>
          <w:tcPr>
            <w:tcW w:w="1960" w:type="dxa"/>
            <w:vMerge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[kolumna nr 2 x kolumna nr 3]</w:t>
            </w:r>
          </w:p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</w:tr>
      <w:tr w:rsidR="00E32BA6" w:rsidRPr="00E32BA6" w:rsidTr="00C57ACF">
        <w:trPr>
          <w:trHeight w:val="691"/>
        </w:trPr>
        <w:tc>
          <w:tcPr>
            <w:tcW w:w="587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2023 (III sezon - od 1 marca do 30 listopada)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Lucida Sans"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8"/>
                <w:szCs w:val="18"/>
                <w:lang w:bidi="hi-IN"/>
              </w:rPr>
              <w:t>9 miesięcy</w:t>
            </w:r>
          </w:p>
        </w:tc>
        <w:tc>
          <w:tcPr>
            <w:tcW w:w="1960" w:type="dxa"/>
            <w:vMerge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</w:pPr>
            <w:r w:rsidRPr="00E32BA6">
              <w:rPr>
                <w:rFonts w:ascii="Segoe UI" w:eastAsia="Calibri" w:hAnsi="Segoe UI" w:cs="Segoe UI"/>
                <w:kern w:val="2"/>
                <w:sz w:val="16"/>
                <w:szCs w:val="16"/>
                <w:lang w:bidi="hi-IN"/>
              </w:rPr>
              <w:t>[kolumna nr 2 x kolumna nr 3]</w:t>
            </w:r>
          </w:p>
          <w:p w:rsidR="00E32BA6" w:rsidRPr="00E32BA6" w:rsidRDefault="00E32BA6" w:rsidP="00E32BA6">
            <w:pPr>
              <w:spacing w:after="0" w:line="240" w:lineRule="auto"/>
              <w:jc w:val="center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</w:tr>
      <w:tr w:rsidR="00E32BA6" w:rsidRPr="00E32BA6" w:rsidTr="00C57ACF">
        <w:trPr>
          <w:trHeight w:val="701"/>
        </w:trPr>
        <w:tc>
          <w:tcPr>
            <w:tcW w:w="7233" w:type="dxa"/>
            <w:gridSpan w:val="4"/>
            <w:shd w:val="clear" w:color="auto" w:fill="auto"/>
            <w:vAlign w:val="center"/>
          </w:tcPr>
          <w:p w:rsidR="00E32BA6" w:rsidRDefault="00E32BA6" w:rsidP="00E32BA6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</w:pPr>
            <w:r w:rsidRPr="00E32BA6"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Suma pozycji 1</w:t>
            </w:r>
            <w:r>
              <w:rPr>
                <w:rFonts w:ascii="Segoe UI" w:eastAsia="Calibri" w:hAnsi="Segoe UI" w:cs="Segoe UI"/>
                <w:b/>
                <w:bCs/>
                <w:kern w:val="2"/>
                <w:sz w:val="18"/>
                <w:szCs w:val="18"/>
                <w:lang w:bidi="hi-IN"/>
              </w:rPr>
              <w:t>.1, 1.2, 2, 3</w:t>
            </w:r>
          </w:p>
          <w:p w:rsidR="00C57ACF" w:rsidRPr="00E32BA6" w:rsidRDefault="00C57ACF" w:rsidP="00E32BA6">
            <w:pPr>
              <w:spacing w:after="0" w:line="240" w:lineRule="auto"/>
              <w:jc w:val="right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27" w:type="dxa"/>
            <w:shd w:val="clear" w:color="auto" w:fill="auto"/>
          </w:tcPr>
          <w:p w:rsidR="00E32BA6" w:rsidRPr="00E32BA6" w:rsidRDefault="00E32BA6" w:rsidP="00E32BA6">
            <w:pPr>
              <w:spacing w:after="0" w:line="240" w:lineRule="auto"/>
              <w:rPr>
                <w:rFonts w:ascii="Calibri" w:eastAsia="Calibri" w:hAnsi="Calibri" w:cs="Segoe UI"/>
                <w:kern w:val="2"/>
                <w:lang w:bidi="hi-IN"/>
              </w:rPr>
            </w:pPr>
          </w:p>
        </w:tc>
      </w:tr>
    </w:tbl>
    <w:p w:rsidR="00E32BA6" w:rsidRPr="00E32BA6" w:rsidRDefault="00E32BA6" w:rsidP="00E32BA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</w:p>
    <w:p w:rsidR="00E32BA6" w:rsidRPr="00E32BA6" w:rsidRDefault="00E32BA6" w:rsidP="00E32BA6">
      <w:pPr>
        <w:rPr>
          <w:rFonts w:ascii="Segoe UI" w:eastAsia="Calibri" w:hAnsi="Segoe UI" w:cs="Segoe UI"/>
          <w:sz w:val="18"/>
          <w:szCs w:val="18"/>
        </w:rPr>
      </w:pPr>
      <w:r w:rsidRPr="00E32BA6">
        <w:rPr>
          <w:rFonts w:ascii="Segoe UI" w:eastAsia="Calibri" w:hAnsi="Segoe UI" w:cs="Segoe UI"/>
          <w:sz w:val="18"/>
          <w:szCs w:val="18"/>
        </w:rPr>
        <w:t>*należy wpisać miesięczne wynagrodzenie ryczałtowe brutto jednakowe przez cały okres realizacji zamówienia</w:t>
      </w:r>
    </w:p>
    <w:p w:rsid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Deklarujemy wykonanie przedmiotu zamówienia w terminie: </w:t>
      </w: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od dnia zawarcia umowy do dnia                    29 grudnia 2023 r.</w:t>
      </w:r>
    </w:p>
    <w:p w:rsidR="00C57ACF" w:rsidRPr="00E32BA6" w:rsidRDefault="00C57ACF" w:rsidP="00C57ACF">
      <w:pPr>
        <w:spacing w:beforeLines="20" w:before="48" w:afterLines="20" w:after="48" w:line="240" w:lineRule="auto"/>
        <w:ind w:left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1" w:name="_GoBack"/>
      <w:bookmarkEnd w:id="1"/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50" w:after="120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Deklarujemy dostarczenie 150 rowerów standardowych </w:t>
      </w:r>
    </w:p>
    <w:p w:rsidR="00E32BA6" w:rsidRPr="00E32BA6" w:rsidRDefault="00E32BA6" w:rsidP="00E32BA6">
      <w:pPr>
        <w:spacing w:beforeLines="20" w:before="48" w:afterLines="50" w:after="12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oraz …………… szt. dodatkowych rowerów standardowych </w:t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>(</w:t>
      </w:r>
      <w:r w:rsidRPr="00E32BA6">
        <w:rPr>
          <w:rFonts w:ascii="Segoe UI" w:eastAsia="Times New Roman" w:hAnsi="Segoe UI" w:cs="Segoe UI"/>
          <w:bCs/>
          <w:i/>
          <w:iCs/>
          <w:color w:val="FF0000"/>
          <w:sz w:val="16"/>
          <w:szCs w:val="16"/>
          <w:lang w:eastAsia="pl-PL"/>
        </w:rPr>
        <w:t xml:space="preserve">należy wpisać proponowaną liczbę </w:t>
      </w:r>
      <w:r w:rsidRPr="00E32BA6">
        <w:rPr>
          <w:rFonts w:ascii="Segoe UI" w:eastAsia="Times New Roman" w:hAnsi="Segoe UI" w:cs="Segoe UI"/>
          <w:b/>
          <w:i/>
          <w:iCs/>
          <w:color w:val="FF0000"/>
          <w:sz w:val="16"/>
          <w:szCs w:val="16"/>
          <w:lang w:eastAsia="pl-PL"/>
        </w:rPr>
        <w:t>dodatkowych</w:t>
      </w:r>
      <w:r w:rsidRPr="00E32BA6">
        <w:rPr>
          <w:rFonts w:ascii="Segoe UI" w:eastAsia="Times New Roman" w:hAnsi="Segoe UI" w:cs="Segoe UI"/>
          <w:bCs/>
          <w:i/>
          <w:iCs/>
          <w:color w:val="FF0000"/>
          <w:sz w:val="16"/>
          <w:szCs w:val="16"/>
          <w:lang w:eastAsia="pl-PL"/>
        </w:rPr>
        <w:t xml:space="preserve"> rowerów standardowych ponad wymaganą przez Zamawiającego tj. 150 rowerów standardowych)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b/>
          <w:i/>
          <w:sz w:val="16"/>
          <w:szCs w:val="16"/>
          <w:lang w:eastAsia="pl-PL"/>
        </w:rPr>
        <w:t>Uwaga!!!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Arial Unicode MS" w:hAnsi="Segoe UI" w:cs="Segoe UI"/>
          <w:i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i/>
          <w:sz w:val="16"/>
          <w:szCs w:val="16"/>
          <w:lang w:eastAsia="pl-PL"/>
        </w:rPr>
        <w:t>Dostarczenie dodatkowych rowerów standardowych</w:t>
      </w:r>
      <w:r w:rsidRPr="00E32BA6">
        <w:rPr>
          <w:rFonts w:ascii="Segoe UI" w:eastAsia="Arial Unicode MS" w:hAnsi="Segoe UI" w:cs="Segoe UI"/>
          <w:i/>
          <w:sz w:val="16"/>
          <w:szCs w:val="16"/>
          <w:lang w:eastAsia="pl-PL"/>
        </w:rPr>
        <w:t xml:space="preserve"> stanowi kryterium oceny ofert, które szczegółowo opisane zostało w Rozdziale I pkt 15 SIWZ.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Arial Unicode MS" w:hAnsi="Segoe UI" w:cs="Segoe UI"/>
          <w:i/>
          <w:sz w:val="18"/>
          <w:szCs w:val="18"/>
          <w:lang w:eastAsia="pl-PL"/>
        </w:rPr>
      </w:pPr>
    </w:p>
    <w:p w:rsidR="00E32BA6" w:rsidRPr="00E32BA6" w:rsidRDefault="00E32BA6" w:rsidP="00E32BA6">
      <w:pPr>
        <w:widowControl w:val="0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Deklarujemy następujący czas usunięcia usterek rowerów </w:t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>(</w:t>
      </w:r>
      <w:r w:rsidRPr="00E32BA6">
        <w:rPr>
          <w:rFonts w:ascii="Segoe UI" w:eastAsia="Times New Roman" w:hAnsi="Segoe UI" w:cs="Segoe UI"/>
          <w:bCs/>
          <w:i/>
          <w:iCs/>
          <w:color w:val="FF0000"/>
          <w:sz w:val="16"/>
          <w:szCs w:val="16"/>
          <w:lang w:eastAsia="pl-PL"/>
        </w:rPr>
        <w:t>należy zaznaczyć „X” proponowany czas usunięcia usterek rowerów</w:t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>)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E32BA6" w:rsidRPr="00E32BA6" w:rsidRDefault="00E32BA6" w:rsidP="00E32BA6">
      <w:pPr>
        <w:spacing w:after="0" w:line="240" w:lineRule="auto"/>
        <w:ind w:left="709" w:hanging="709"/>
        <w:jc w:val="both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27000" cy="114300"/>
                <wp:effectExtent l="0" t="0" r="2540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AFEB" id="Prostokąt 10" o:spid="_x0000_s1026" style="position:absolute;margin-left:2.25pt;margin-top:.3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"/>
            </w:pict>
          </mc:Fallback>
        </mc:AlternateConten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    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  <w:t>do 24 godzin</w:t>
      </w:r>
    </w:p>
    <w:p w:rsidR="00E32BA6" w:rsidRPr="00E32BA6" w:rsidRDefault="00E32BA6" w:rsidP="00E32BA6">
      <w:pPr>
        <w:spacing w:before="80" w:after="8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albo </w:t>
      </w:r>
      <w:r w:rsidRPr="00E32BA6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</w:t>
      </w:r>
    </w:p>
    <w:p w:rsidR="00E32BA6" w:rsidRPr="00E32BA6" w:rsidRDefault="00E32BA6" w:rsidP="00E32BA6">
      <w:pPr>
        <w:tabs>
          <w:tab w:val="left" w:pos="709"/>
        </w:tabs>
        <w:spacing w:after="0" w:line="240" w:lineRule="auto"/>
        <w:ind w:left="708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127000" cy="114300"/>
                <wp:effectExtent l="0" t="0" r="2540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1B8E" id="Prostokąt 11" o:spid="_x0000_s1026" style="position:absolute;margin-left:.45pt;margin-top:4.2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"/>
            </w:pict>
          </mc:Fallback>
        </mc:AlternateContent>
      </w:r>
      <w:r w:rsidRPr="00E32BA6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do 12 godzin</w:t>
      </w:r>
    </w:p>
    <w:p w:rsidR="00E32BA6" w:rsidRPr="00E32BA6" w:rsidRDefault="00E32BA6" w:rsidP="00E32BA6">
      <w:pPr>
        <w:tabs>
          <w:tab w:val="left" w:pos="0"/>
        </w:tabs>
        <w:spacing w:before="80" w:after="80" w:line="240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i/>
          <w:sz w:val="20"/>
          <w:szCs w:val="20"/>
          <w:lang w:eastAsia="pl-PL"/>
        </w:rPr>
        <w:t>albo</w:t>
      </w:r>
    </w:p>
    <w:p w:rsidR="00E32BA6" w:rsidRPr="00E32BA6" w:rsidRDefault="00E32BA6" w:rsidP="00E32BA6">
      <w:pPr>
        <w:tabs>
          <w:tab w:val="left" w:pos="0"/>
        </w:tabs>
        <w:spacing w:after="0" w:line="240" w:lineRule="auto"/>
        <w:ind w:left="708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73025</wp:posOffset>
                </wp:positionV>
                <wp:extent cx="127000" cy="114300"/>
                <wp:effectExtent l="0" t="0" r="2540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9BEF" id="Prostokąt 5" o:spid="_x0000_s1026" style="position:absolute;margin-left:1.05pt;margin-top:5.75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"/>
            </w:pict>
          </mc:Fallback>
        </mc:AlternateConten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do 8 godzin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b/>
          <w:i/>
          <w:sz w:val="16"/>
          <w:szCs w:val="16"/>
          <w:lang w:eastAsia="pl-PL"/>
        </w:rPr>
        <w:t>Uwaga!!!</w:t>
      </w: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Arial Unicode MS" w:hAnsi="Segoe UI" w:cs="Segoe UI"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i/>
          <w:sz w:val="16"/>
          <w:szCs w:val="16"/>
          <w:lang w:eastAsia="pl-PL"/>
        </w:rPr>
        <w:t>Czas usunięcia usterek rowerów</w:t>
      </w:r>
      <w:r w:rsidRPr="00E32BA6">
        <w:rPr>
          <w:rFonts w:ascii="Segoe UI" w:eastAsia="Arial Unicode MS" w:hAnsi="Segoe UI" w:cs="Segoe UI"/>
          <w:i/>
          <w:sz w:val="16"/>
          <w:szCs w:val="16"/>
          <w:lang w:eastAsia="pl-PL"/>
        </w:rPr>
        <w:t xml:space="preserve"> stanowi kryterium oceny ofert, które szczegółowo opisane zostało w Rozdziale I pkt 15 SIWZ</w:t>
      </w:r>
      <w:r w:rsidRPr="00E32BA6">
        <w:rPr>
          <w:rFonts w:ascii="Segoe UI" w:eastAsia="Arial Unicode MS" w:hAnsi="Segoe UI" w:cs="Segoe UI"/>
          <w:sz w:val="16"/>
          <w:szCs w:val="16"/>
          <w:lang w:eastAsia="pl-PL"/>
        </w:rPr>
        <w:t>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Oświadczamy, że akceptujemy warunki płatności zgodnie z wymogami określonymi w projekcie umowy.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Oświadczamy, że zapoznaliśmy się z warunkami zamówienia i nie wnosimy do nich zastrzeżeń.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Oświadczamy, że zdobyliśmy konieczne informacje do przygotowania oferty.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Oświadczamy, że akceptujemy postanowienia wskazanych w specyfikacji istotnych warunków zamówienia: Regulaminu korzystania z systemu </w:t>
      </w:r>
      <w:proofErr w:type="spellStart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miniPortal</w:t>
      </w:r>
      <w:proofErr w:type="spellEnd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Instrukcji użytkownika systemu </w:t>
      </w:r>
      <w:proofErr w:type="spellStart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miniPortal-ePUAP</w:t>
      </w:r>
      <w:proofErr w:type="spellEnd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Oświadczamy, że uważamy się za związanych niniejszą ofertą na okres </w:t>
      </w:r>
      <w:r w:rsidRPr="00E32BA6">
        <w:rPr>
          <w:rFonts w:ascii="Segoe UI" w:eastAsia="Times New Roman" w:hAnsi="Segoe UI" w:cs="Segoe UI"/>
          <w:b/>
          <w:sz w:val="20"/>
          <w:szCs w:val="20"/>
          <w:lang w:eastAsia="pl-PL"/>
        </w:rPr>
        <w:t>60 dni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 od daty wyznaczonego terminu składania ofert. 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Oświadczamy, że zawarty w warunkach zamówienia projekt umowy został przez nas zaakceptowany 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br/>
        <w:t>i zobowiązujemy się w przypadku wyboru naszej oferty do zawarcia umowy na wyżej wymienionych warunkach w miejscu i terminie wyznaczonym przez Zamawiającego.</w:t>
      </w:r>
    </w:p>
    <w:p w:rsidR="00E32BA6" w:rsidRPr="00E32BA6" w:rsidRDefault="00E32BA6" w:rsidP="00E32BA6">
      <w:pPr>
        <w:numPr>
          <w:ilvl w:val="0"/>
          <w:numId w:val="1"/>
        </w:numPr>
        <w:spacing w:beforeLines="20" w:before="48" w:afterLines="20" w:after="48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Oświadczamy, że pracownicy wykonujący w trakcie realizacji zamówienia następujące czynności:</w:t>
      </w:r>
    </w:p>
    <w:p w:rsidR="00E32BA6" w:rsidRPr="00E32BA6" w:rsidRDefault="00E32BA6" w:rsidP="00E32BA6">
      <w:pPr>
        <w:numPr>
          <w:ilvl w:val="0"/>
          <w:numId w:val="2"/>
        </w:numPr>
        <w:spacing w:beforeLines="20" w:before="48" w:afterLines="20" w:after="48" w:line="240" w:lineRule="auto"/>
        <w:ind w:left="426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wykonywanie relokacji i serwisowania rowerów;</w:t>
      </w:r>
    </w:p>
    <w:p w:rsidR="00E32BA6" w:rsidRPr="00E32BA6" w:rsidRDefault="00E32BA6" w:rsidP="00E32BA6">
      <w:pPr>
        <w:numPr>
          <w:ilvl w:val="0"/>
          <w:numId w:val="2"/>
        </w:numPr>
        <w:spacing w:beforeLines="20" w:before="48" w:afterLines="20" w:after="48" w:line="240" w:lineRule="auto"/>
        <w:ind w:left="426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obsługa BOK i wsparcia technicznego,</w:t>
      </w:r>
    </w:p>
    <w:p w:rsidR="00E32BA6" w:rsidRPr="00E32BA6" w:rsidRDefault="00E32BA6" w:rsidP="00E32BA6">
      <w:pPr>
        <w:spacing w:beforeLines="20" w:before="48" w:afterLines="20" w:after="48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zatrudnieni będą na podstawie umowy o pracę w rozumieniu przepisów ustawy z dnia 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br/>
        <w:t>26 czerwca  1974 r. – Kodeks pracy (</w:t>
      </w:r>
      <w:proofErr w:type="spellStart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>. Dz. U. z 2020 r., poz. 1320).</w:t>
      </w:r>
    </w:p>
    <w:p w:rsidR="00E32BA6" w:rsidRPr="00E32BA6" w:rsidRDefault="00E32BA6" w:rsidP="00E32BA6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Pod groźbą odpowiedzialności karnej oświadczamy, że załączone do oferty oświadczenia 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br/>
        <w:t>lub dokumenty opisują stan prawny i faktyczny, aktualny na dzień otwarcia ofert (art.233 k.k.).</w:t>
      </w:r>
    </w:p>
    <w:p w:rsidR="00E32BA6" w:rsidRPr="00E32BA6" w:rsidRDefault="00E32BA6" w:rsidP="00E32BA6">
      <w:pPr>
        <w:widowControl w:val="0"/>
        <w:spacing w:after="0" w:line="240" w:lineRule="auto"/>
        <w:ind w:left="40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32BA6" w:rsidRPr="00E32BA6" w:rsidRDefault="00E32BA6" w:rsidP="00E32BA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32BA6" w:rsidRPr="00E32BA6" w:rsidRDefault="00E32BA6" w:rsidP="00E32B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32BA6" w:rsidRPr="00E32BA6" w:rsidRDefault="00E32BA6" w:rsidP="00E32BA6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32BA6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   </w:t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 xml:space="preserve">Niniejszy formularz należy opatrzyć  </w:t>
      </w:r>
    </w:p>
    <w:p w:rsidR="00E32BA6" w:rsidRPr="00E32BA6" w:rsidRDefault="00E32BA6" w:rsidP="00E32BA6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 xml:space="preserve"> </w:t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</w: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ab/>
        <w:t xml:space="preserve">                    kwalifikowanym podpisem elektronicznym</w:t>
      </w:r>
    </w:p>
    <w:p w:rsidR="00E32BA6" w:rsidRPr="00E32BA6" w:rsidRDefault="00E32BA6" w:rsidP="00E32BA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</w:pPr>
      <w:r w:rsidRPr="00E32BA6">
        <w:rPr>
          <w:rFonts w:ascii="Segoe UI" w:eastAsia="Times New Roman" w:hAnsi="Segoe UI" w:cs="Segoe UI"/>
          <w:i/>
          <w:color w:val="FF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osoby uprawnionej</w:t>
      </w:r>
      <w:bookmarkEnd w:id="0"/>
    </w:p>
    <w:p w:rsidR="00E32BA6" w:rsidRPr="00E32BA6" w:rsidRDefault="00E32BA6" w:rsidP="00E32BA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D4889" w:rsidRDefault="00C57ACF"/>
    <w:sectPr w:rsidR="00FD4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A6" w:rsidRDefault="00E32BA6" w:rsidP="00E32BA6">
      <w:pPr>
        <w:spacing w:after="0" w:line="240" w:lineRule="auto"/>
      </w:pPr>
      <w:r>
        <w:separator/>
      </w:r>
    </w:p>
  </w:endnote>
  <w:endnote w:type="continuationSeparator" w:id="0">
    <w:p w:rsidR="00E32BA6" w:rsidRDefault="00E32BA6" w:rsidP="00E3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A6" w:rsidRDefault="00E32BA6" w:rsidP="00E32BA6">
      <w:pPr>
        <w:spacing w:after="0" w:line="240" w:lineRule="auto"/>
      </w:pPr>
      <w:r>
        <w:separator/>
      </w:r>
    </w:p>
  </w:footnote>
  <w:footnote w:type="continuationSeparator" w:id="0">
    <w:p w:rsidR="00E32BA6" w:rsidRDefault="00E32BA6" w:rsidP="00E3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A6" w:rsidRDefault="00E32BA6">
    <w:pPr>
      <w:pStyle w:val="Nagwek"/>
    </w:pPr>
    <w:r>
      <w:t>BZP-6.271.1.44.2020.AP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F87"/>
    <w:multiLevelType w:val="hybridMultilevel"/>
    <w:tmpl w:val="92AAFE2A"/>
    <w:lvl w:ilvl="0" w:tplc="F1C000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774A"/>
    <w:multiLevelType w:val="hybridMultilevel"/>
    <w:tmpl w:val="A2EA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6"/>
    <w:rsid w:val="0079417C"/>
    <w:rsid w:val="00854FDD"/>
    <w:rsid w:val="00C57ACF"/>
    <w:rsid w:val="00E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577FBC"/>
  <w15:chartTrackingRefBased/>
  <w15:docId w15:val="{4D733AD6-A91E-4EF7-9E36-C0A42FE3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32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A6"/>
  </w:style>
  <w:style w:type="paragraph" w:styleId="Stopka">
    <w:name w:val="footer"/>
    <w:basedOn w:val="Normalny"/>
    <w:link w:val="StopkaZnak"/>
    <w:uiPriority w:val="99"/>
    <w:unhideWhenUsed/>
    <w:rsid w:val="00E3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3746</Characters>
  <Application>Microsoft Office Word</Application>
  <DocSecurity>0</DocSecurity>
  <Lines>31</Lines>
  <Paragraphs>8</Paragraphs>
  <ScaleCrop>false</ScaleCrop>
  <Company>Urząd Miejski w Koszalinie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2021-01-11T09:53:00Z</dcterms:created>
  <dcterms:modified xsi:type="dcterms:W3CDTF">2021-01-11T10:01:00Z</dcterms:modified>
</cp:coreProperties>
</file>