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1C" w:rsidRPr="0027017F" w:rsidRDefault="0050411C" w:rsidP="0050411C">
      <w:pPr>
        <w:ind w:right="-284"/>
        <w:rPr>
          <w:rFonts w:ascii="Segoe UI" w:hAnsi="Segoe UI" w:cs="Segoe UI"/>
          <w:sz w:val="20"/>
          <w:szCs w:val="20"/>
        </w:rPr>
      </w:pPr>
      <w:r w:rsidRPr="0027017F">
        <w:rPr>
          <w:rFonts w:ascii="Segoe UI" w:hAnsi="Segoe UI" w:cs="Segoe UI"/>
          <w:sz w:val="20"/>
          <w:szCs w:val="20"/>
        </w:rPr>
        <w:t>BZP-8.271.1.14.2022.EM                                                                             Koszalin, dnia</w:t>
      </w:r>
      <w:r w:rsidR="007245DE" w:rsidRPr="0027017F">
        <w:rPr>
          <w:rFonts w:ascii="Segoe UI" w:hAnsi="Segoe UI" w:cs="Segoe UI"/>
          <w:sz w:val="20"/>
          <w:szCs w:val="20"/>
        </w:rPr>
        <w:t xml:space="preserve"> </w:t>
      </w:r>
      <w:r w:rsidR="00A71195">
        <w:rPr>
          <w:rFonts w:ascii="Segoe UI" w:hAnsi="Segoe UI" w:cs="Segoe UI"/>
          <w:sz w:val="20"/>
          <w:szCs w:val="20"/>
        </w:rPr>
        <w:t xml:space="preserve">22 </w:t>
      </w:r>
      <w:r w:rsidRPr="0027017F">
        <w:rPr>
          <w:rFonts w:ascii="Segoe UI" w:hAnsi="Segoe UI" w:cs="Segoe UI"/>
          <w:sz w:val="20"/>
          <w:szCs w:val="20"/>
        </w:rPr>
        <w:t>kwietnia 2022 r.</w:t>
      </w:r>
    </w:p>
    <w:p w:rsidR="00946CE1" w:rsidRDefault="00946CE1" w:rsidP="0050411C">
      <w:pPr>
        <w:jc w:val="both"/>
        <w:rPr>
          <w:rFonts w:ascii="Segoe UI" w:hAnsi="Segoe UI" w:cs="Segoe UI"/>
          <w:sz w:val="20"/>
          <w:szCs w:val="20"/>
        </w:rPr>
      </w:pPr>
    </w:p>
    <w:p w:rsidR="00147F9C" w:rsidRPr="0027017F" w:rsidRDefault="00147F9C" w:rsidP="0050411C">
      <w:pPr>
        <w:jc w:val="both"/>
        <w:rPr>
          <w:rFonts w:ascii="Segoe UI" w:hAnsi="Segoe UI" w:cs="Segoe UI"/>
          <w:sz w:val="20"/>
          <w:szCs w:val="20"/>
        </w:rPr>
      </w:pPr>
    </w:p>
    <w:p w:rsidR="0050411C" w:rsidRPr="0027017F" w:rsidRDefault="0050411C" w:rsidP="0050411C">
      <w:pPr>
        <w:widowControl w:val="0"/>
        <w:suppressAutoHyphens/>
        <w:jc w:val="center"/>
        <w:rPr>
          <w:rFonts w:ascii="Segoe UI" w:hAnsi="Segoe UI" w:cs="Segoe UI"/>
          <w:b/>
          <w:sz w:val="20"/>
          <w:szCs w:val="20"/>
        </w:rPr>
      </w:pPr>
      <w:r w:rsidRPr="0027017F">
        <w:rPr>
          <w:rFonts w:ascii="Segoe UI" w:hAnsi="Segoe UI" w:cs="Segoe UI"/>
          <w:b/>
          <w:bCs/>
          <w:sz w:val="20"/>
          <w:szCs w:val="20"/>
        </w:rPr>
        <w:t xml:space="preserve">Do Wykonawców biorących udział w postępowaniu o udzielenie zamówienia publicznego prowadzonego </w:t>
      </w:r>
      <w:r w:rsidRPr="0027017F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trybie </w:t>
      </w:r>
      <w:r w:rsidRPr="0027017F">
        <w:rPr>
          <w:rFonts w:ascii="Segoe UI" w:hAnsi="Segoe UI" w:cs="Segoe UI"/>
          <w:b/>
          <w:sz w:val="20"/>
          <w:szCs w:val="20"/>
        </w:rPr>
        <w:t xml:space="preserve">przetargu nieograniczonego na podstawie </w:t>
      </w:r>
      <w:r w:rsidRPr="0027017F">
        <w:rPr>
          <w:rFonts w:ascii="Segoe UI" w:hAnsi="Segoe UI" w:cs="Segoe UI"/>
          <w:b/>
          <w:sz w:val="20"/>
          <w:szCs w:val="20"/>
        </w:rPr>
        <w:br/>
        <w:t xml:space="preserve">art. 132 ustawy Prawo zamówień publicznych na </w:t>
      </w:r>
      <w:r w:rsidRPr="0027017F">
        <w:rPr>
          <w:rFonts w:ascii="Segoe UI" w:hAnsi="Segoe UI" w:cs="Segoe UI"/>
          <w:b/>
          <w:bCs/>
          <w:sz w:val="20"/>
          <w:szCs w:val="20"/>
          <w:bdr w:val="none" w:sz="0" w:space="0" w:color="auto" w:frame="1"/>
          <w:shd w:val="clear" w:color="auto" w:fill="FFFFFF"/>
          <w:lang w:eastAsia="zh-CN"/>
        </w:rPr>
        <w:t>Gospodarkę o obiegu zamkniętym w Koszalinie służącą gospodarowaniu odpadami surowcowymi oraz ulegającymi biodegradacji</w:t>
      </w:r>
    </w:p>
    <w:p w:rsidR="00946CE1" w:rsidRPr="0027017F" w:rsidRDefault="00946CE1" w:rsidP="00E227FA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F30B39" w:rsidRPr="008255EC" w:rsidRDefault="00F30B39" w:rsidP="00CD34A6">
      <w:pPr>
        <w:rPr>
          <w:rFonts w:ascii="Segoe UI" w:hAnsi="Segoe UI" w:cs="Segoe UI"/>
          <w:bCs/>
          <w:sz w:val="20"/>
          <w:szCs w:val="20"/>
        </w:rPr>
      </w:pPr>
    </w:p>
    <w:p w:rsidR="0050411C" w:rsidRPr="008255EC" w:rsidRDefault="0059017A" w:rsidP="00E227FA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8255EC">
        <w:rPr>
          <w:rFonts w:ascii="Segoe UI" w:hAnsi="Segoe UI" w:cs="Segoe UI"/>
          <w:b/>
          <w:bCs/>
          <w:sz w:val="20"/>
          <w:szCs w:val="20"/>
        </w:rPr>
        <w:t>MODYFIKACJA nr 6</w:t>
      </w:r>
      <w:r w:rsidR="0050411C" w:rsidRPr="008255EC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946CE1" w:rsidRPr="008255EC" w:rsidRDefault="00946CE1" w:rsidP="0050411C">
      <w:pPr>
        <w:jc w:val="center"/>
        <w:rPr>
          <w:rFonts w:ascii="Segoe UI" w:hAnsi="Segoe UI" w:cs="Segoe UI"/>
          <w:bCs/>
          <w:sz w:val="20"/>
          <w:szCs w:val="20"/>
        </w:rPr>
      </w:pPr>
    </w:p>
    <w:p w:rsidR="00AF4851" w:rsidRDefault="0050411C" w:rsidP="008255EC">
      <w:pPr>
        <w:suppressAutoHyphens/>
        <w:ind w:firstLine="709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8255EC">
        <w:rPr>
          <w:rFonts w:ascii="Segoe UI" w:hAnsi="Segoe UI" w:cs="Segoe UI"/>
          <w:sz w:val="20"/>
          <w:szCs w:val="20"/>
        </w:rPr>
        <w:t>Zamawiający Gmina Miast</w:t>
      </w:r>
      <w:r w:rsidR="00AF4851">
        <w:rPr>
          <w:rFonts w:ascii="Segoe UI" w:hAnsi="Segoe UI" w:cs="Segoe UI"/>
          <w:sz w:val="20"/>
          <w:szCs w:val="20"/>
        </w:rPr>
        <w:t xml:space="preserve">o Koszalin, działając </w:t>
      </w:r>
      <w:r w:rsidR="00AF485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 podstawie 137 ust. 1 i ust. 2</w:t>
      </w:r>
      <w:r w:rsidR="00A7119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ustawy z dnia </w:t>
      </w:r>
      <w:r w:rsidR="00A7119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11 września 2019 r. – P</w:t>
      </w:r>
      <w:r w:rsidR="00220D8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rawo zamówień publicznych (</w:t>
      </w:r>
      <w:r w:rsidR="00A7119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Dz. U. z 2021 r., poz. 1129 z późn. zm.)</w:t>
      </w:r>
      <w:r w:rsidR="00147F9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 w:rsidR="00A7119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AF485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dokonuje modyfikacji specyfikacji </w:t>
      </w:r>
      <w:r w:rsidR="00AF4851" w:rsidRPr="008255E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warunków zamówienia</w:t>
      </w:r>
      <w:r w:rsidR="00147F9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(SWZ)</w:t>
      </w:r>
      <w:r w:rsidR="00AF4851" w:rsidRPr="008255E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AF485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 niżej wymienionym zakresie</w:t>
      </w:r>
      <w:r w:rsidR="00A7119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</w:p>
    <w:p w:rsidR="00A71195" w:rsidRDefault="00A71195" w:rsidP="008255EC">
      <w:pPr>
        <w:suppressAutoHyphens/>
        <w:ind w:firstLine="709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A71195" w:rsidRPr="00E449EC" w:rsidRDefault="00AF4851" w:rsidP="00A71195">
      <w:pPr>
        <w:pStyle w:val="Akapitzlist"/>
        <w:numPr>
          <w:ilvl w:val="0"/>
          <w:numId w:val="21"/>
        </w:numPr>
        <w:suppressAutoHyphens/>
        <w:spacing w:after="120"/>
        <w:ind w:left="284" w:hanging="284"/>
        <w:contextualSpacing w:val="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</w:rPr>
        <w:t>w związku</w:t>
      </w:r>
      <w:r w:rsidRPr="00AF485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</w:t>
      </w:r>
      <w:r w:rsidR="0050411C" w:rsidRPr="00AF4851">
        <w:rPr>
          <w:rFonts w:ascii="Segoe UI" w:hAnsi="Segoe UI" w:cs="Segoe UI"/>
          <w:sz w:val="20"/>
          <w:szCs w:val="20"/>
        </w:rPr>
        <w:t xml:space="preserve"> art. </w:t>
      </w:r>
      <w:r w:rsidR="008255EC" w:rsidRPr="00AF4851">
        <w:rPr>
          <w:rFonts w:ascii="Segoe UI" w:hAnsi="Segoe UI" w:cs="Segoe UI"/>
          <w:sz w:val="20"/>
          <w:szCs w:val="20"/>
        </w:rPr>
        <w:t xml:space="preserve">22 pkt 2 ustawy z dnia 13 kwietnia 2022 r. </w:t>
      </w:r>
      <w:r w:rsidR="008255EC" w:rsidRPr="00AF4851">
        <w:rPr>
          <w:rFonts w:ascii="Segoe UI" w:hAnsi="Segoe UI" w:cs="Segoe UI"/>
          <w:bCs/>
          <w:sz w:val="20"/>
          <w:szCs w:val="20"/>
        </w:rPr>
        <w:t xml:space="preserve">o szczególnych rozwiązaniach </w:t>
      </w:r>
      <w:r>
        <w:rPr>
          <w:rFonts w:ascii="Segoe UI" w:hAnsi="Segoe UI" w:cs="Segoe UI"/>
          <w:bCs/>
          <w:sz w:val="20"/>
          <w:szCs w:val="20"/>
        </w:rPr>
        <w:br/>
      </w:r>
      <w:r w:rsidR="008255EC" w:rsidRPr="00AF4851">
        <w:rPr>
          <w:rFonts w:ascii="Segoe UI" w:hAnsi="Segoe UI" w:cs="Segoe UI"/>
          <w:bCs/>
          <w:sz w:val="20"/>
          <w:szCs w:val="20"/>
        </w:rPr>
        <w:t xml:space="preserve">w zakresie przeciwdziałania wspieraniu agresji na Ukrainę oraz służących ochronie bezpieczeństwa narodowego (Dz. U. z 2022 r., poz. 835), </w:t>
      </w:r>
      <w:r w:rsidR="008255EC" w:rsidRPr="00AF485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dostosowuje </w:t>
      </w:r>
      <w:r w:rsidR="00147F9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się </w:t>
      </w:r>
      <w:r w:rsidR="008255EC" w:rsidRPr="00AF485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dokumentację zamówienia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tj.  </w:t>
      </w:r>
      <w:r w:rsidRPr="00AF485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w Rozdziale I SWZ w pkt 5. </w:t>
      </w:r>
      <w:r w:rsidRPr="00AF4851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PODSTAWY WYKLUCZENIA ORAZ WARUNKI UDZIAŁU W POSTĘPOWANIU </w:t>
      </w:r>
      <w:r w:rsidRPr="00AF4851">
        <w:rPr>
          <w:rFonts w:ascii="Segoe UI" w:hAnsi="Segoe UI" w:cs="Segoe UI"/>
          <w:bCs/>
          <w:sz w:val="20"/>
          <w:szCs w:val="20"/>
          <w:lang w:eastAsia="zh-CN"/>
        </w:rPr>
        <w:t>dodaje się poniższą treść</w:t>
      </w:r>
      <w:r w:rsidR="00A71195">
        <w:rPr>
          <w:rFonts w:ascii="Segoe UI" w:hAnsi="Segoe UI" w:cs="Segoe UI"/>
          <w:bCs/>
          <w:sz w:val="20"/>
          <w:szCs w:val="20"/>
          <w:lang w:eastAsia="zh-CN"/>
        </w:rPr>
        <w:t>:</w:t>
      </w:r>
    </w:p>
    <w:p w:rsidR="00E449EC" w:rsidRPr="00E449EC" w:rsidRDefault="00E449EC" w:rsidP="00E449EC">
      <w:pPr>
        <w:pStyle w:val="Akapitzlist"/>
        <w:suppressAutoHyphens/>
        <w:ind w:left="284"/>
        <w:contextualSpacing w:val="0"/>
        <w:jc w:val="both"/>
        <w:rPr>
          <w:rFonts w:ascii="Segoe UI" w:hAnsi="Segoe UI" w:cs="Segoe UI"/>
          <w:b/>
          <w:color w:val="00B0F0"/>
          <w:sz w:val="20"/>
          <w:szCs w:val="20"/>
          <w:shd w:val="clear" w:color="auto" w:fill="FFFFFF"/>
        </w:rPr>
      </w:pPr>
      <w:r w:rsidRPr="00E449EC">
        <w:rPr>
          <w:rFonts w:ascii="Segoe UI" w:hAnsi="Segoe UI" w:cs="Segoe UI"/>
          <w:b/>
          <w:bCs/>
          <w:color w:val="00B0F0"/>
          <w:sz w:val="20"/>
          <w:szCs w:val="20"/>
          <w:lang w:eastAsia="zh-CN"/>
        </w:rPr>
        <w:t>Uwaga I</w:t>
      </w:r>
    </w:p>
    <w:p w:rsidR="00A71195" w:rsidRPr="00B8447D" w:rsidRDefault="00A71195" w:rsidP="00A71195">
      <w:pPr>
        <w:suppressAutoHyphens/>
        <w:ind w:left="284"/>
        <w:jc w:val="both"/>
        <w:rPr>
          <w:rFonts w:ascii="Segoe UI" w:hAnsi="Segoe UI" w:cs="Segoe UI"/>
          <w:color w:val="00B0F0"/>
          <w:sz w:val="20"/>
          <w:szCs w:val="20"/>
          <w:shd w:val="clear" w:color="auto" w:fill="FFFFFF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>1. Z postępowania o udzielenie zamówienia publicznego lub konkursu prowadzonego na podstawie ustawy z dnia 11 września 2019 r. - Prawo zamówień publicznych wyklucza się:</w:t>
      </w:r>
    </w:p>
    <w:p w:rsidR="00A71195" w:rsidRPr="00E449EC" w:rsidRDefault="00A71195" w:rsidP="00A71195">
      <w:pPr>
        <w:pStyle w:val="p1"/>
        <w:shd w:val="clear" w:color="auto" w:fill="FFFFFF"/>
        <w:spacing w:before="0" w:beforeAutospacing="0" w:after="0" w:afterAutospacing="0"/>
        <w:ind w:left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147F9C" w:rsidRPr="00B8447D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147F9C" w:rsidRPr="00E449EC">
        <w:rPr>
          <w:rFonts w:ascii="Segoe UI" w:hAnsi="Segoe UI" w:cs="Segoe UI"/>
          <w:color w:val="00B0F0"/>
          <w:sz w:val="20"/>
          <w:szCs w:val="20"/>
        </w:rPr>
        <w:t>ustawy</w:t>
      </w:r>
      <w:r w:rsidR="00E449EC" w:rsidRPr="00E449EC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E449EC" w:rsidRPr="00E449EC">
        <w:rPr>
          <w:rFonts w:ascii="Segoe UI" w:hAnsi="Segoe UI" w:cs="Segoe UI"/>
          <w:bCs/>
          <w:color w:val="00B0F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E449EC">
        <w:rPr>
          <w:rFonts w:ascii="Segoe UI" w:hAnsi="Segoe UI" w:cs="Segoe UI"/>
          <w:color w:val="00B0F0"/>
          <w:sz w:val="20"/>
          <w:szCs w:val="20"/>
        </w:rPr>
        <w:t>;</w:t>
      </w:r>
    </w:p>
    <w:p w:rsidR="00A71195" w:rsidRPr="00B8447D" w:rsidRDefault="00A71195" w:rsidP="00A71195">
      <w:pPr>
        <w:pStyle w:val="p1"/>
        <w:shd w:val="clear" w:color="auto" w:fill="FFFFFF"/>
        <w:spacing w:before="0" w:beforeAutospacing="0" w:after="0" w:afterAutospacing="0"/>
        <w:ind w:left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 xml:space="preserve">2) wykonawcę oraz uczestnika konkursu, którego beneficjentem rzeczywistym w rozumieniu ustawy z dnia 1 marca 2018 r. o przeciwdziałaniu praniu pieniędzy oraz finansowaniu terroryzmu (Dz. U. </w:t>
      </w:r>
      <w:r w:rsidRPr="00B8447D">
        <w:rPr>
          <w:rFonts w:ascii="Segoe UI" w:hAnsi="Segoe UI" w:cs="Segoe UI"/>
          <w:color w:val="00B0F0"/>
          <w:sz w:val="20"/>
          <w:szCs w:val="20"/>
        </w:rPr>
        <w:br/>
        <w:t xml:space="preserve">z 2022 r. poz. 593 i 655) jest osoba wymieniona w wykazach określonych w rozporządzeniu 765/2006 i rozporządzeniu 269/2014 albo wpisana na listę lub będąca takim beneficjentem rzeczywistym </w:t>
      </w:r>
      <w:r w:rsidRPr="00B8447D">
        <w:rPr>
          <w:rFonts w:ascii="Segoe UI" w:hAnsi="Segoe UI" w:cs="Segoe UI"/>
          <w:color w:val="00B0F0"/>
          <w:sz w:val="20"/>
          <w:szCs w:val="20"/>
        </w:rPr>
        <w:br/>
        <w:t>od dnia 24 lutego 2022 r., o ile została wpisana na listę na podstawie decyzji w sprawie wpisu na listę rozstrzygającej o zastosowaniu środka, o którym mowa w art. 1 pkt 3</w:t>
      </w:r>
      <w:r w:rsidR="00147F9C" w:rsidRPr="00B8447D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E449EC" w:rsidRPr="00E449EC">
        <w:rPr>
          <w:rFonts w:ascii="Segoe UI" w:hAnsi="Segoe UI" w:cs="Segoe UI"/>
          <w:color w:val="00B0F0"/>
          <w:sz w:val="20"/>
          <w:szCs w:val="20"/>
        </w:rPr>
        <w:t xml:space="preserve">ustawy </w:t>
      </w:r>
      <w:r w:rsidR="00E449EC" w:rsidRPr="00E449EC">
        <w:rPr>
          <w:rFonts w:ascii="Segoe UI" w:hAnsi="Segoe UI" w:cs="Segoe UI"/>
          <w:bCs/>
          <w:color w:val="00B0F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B8447D">
        <w:rPr>
          <w:rFonts w:ascii="Segoe UI" w:hAnsi="Segoe UI" w:cs="Segoe UI"/>
          <w:color w:val="00B0F0"/>
          <w:sz w:val="20"/>
          <w:szCs w:val="20"/>
        </w:rPr>
        <w:t>;</w:t>
      </w:r>
    </w:p>
    <w:p w:rsidR="00A71195" w:rsidRPr="00B8447D" w:rsidRDefault="00A71195" w:rsidP="00A71195">
      <w:pPr>
        <w:pStyle w:val="p1"/>
        <w:shd w:val="clear" w:color="auto" w:fill="FFFFFF"/>
        <w:spacing w:before="0" w:beforeAutospacing="0" w:after="0" w:afterAutospacing="0"/>
        <w:ind w:left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 xml:space="preserve">3) wykonawcę oraz uczestnika konkursu, którego jednostką dominującą w rozumieniu art. 3 ust. 1 </w:t>
      </w:r>
      <w:r w:rsidRPr="00B8447D">
        <w:rPr>
          <w:rFonts w:ascii="Segoe UI" w:hAnsi="Segoe UI" w:cs="Segoe UI"/>
          <w:color w:val="00B0F0"/>
          <w:sz w:val="20"/>
          <w:szCs w:val="20"/>
        </w:rPr>
        <w:br/>
        <w:t xml:space="preserve">pkt 37 ustawy z dnia 29 września 1994 r. o rachunkowości (Dz. U. z 2021 r. poz. 217, 2105 i 2106) jest podmiot wymieniony w wykazach określonych w rozporządzeniu 765/2006 i rozporządzeniu 269/2014 albo wpisany na listę lub będący taką jednostką dominującą od dnia 24 lutego 2022 r., </w:t>
      </w:r>
      <w:r w:rsidRPr="00B8447D">
        <w:rPr>
          <w:rFonts w:ascii="Segoe UI" w:hAnsi="Segoe UI" w:cs="Segoe UI"/>
          <w:color w:val="00B0F0"/>
          <w:sz w:val="20"/>
          <w:szCs w:val="20"/>
        </w:rPr>
        <w:br/>
        <w:t xml:space="preserve">o ile został wpisany na listę na podstawie decyzji w sprawie wpisu na listę rozstrzygającej </w:t>
      </w:r>
      <w:r w:rsidRPr="00B8447D">
        <w:rPr>
          <w:rFonts w:ascii="Segoe UI" w:hAnsi="Segoe UI" w:cs="Segoe UI"/>
          <w:color w:val="00B0F0"/>
          <w:sz w:val="20"/>
          <w:szCs w:val="20"/>
        </w:rPr>
        <w:br/>
        <w:t>o zastosowaniu środka, o którym mowa w art. 1 pkt 3</w:t>
      </w:r>
      <w:r w:rsidR="00147F9C" w:rsidRPr="00B8447D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E449EC" w:rsidRPr="00E449EC">
        <w:rPr>
          <w:rFonts w:ascii="Segoe UI" w:hAnsi="Segoe UI" w:cs="Segoe UI"/>
          <w:color w:val="00B0F0"/>
          <w:sz w:val="20"/>
          <w:szCs w:val="20"/>
        </w:rPr>
        <w:t xml:space="preserve">ustawy </w:t>
      </w:r>
      <w:r w:rsidR="00E449EC" w:rsidRPr="00E449EC">
        <w:rPr>
          <w:rFonts w:ascii="Segoe UI" w:hAnsi="Segoe UI" w:cs="Segoe UI"/>
          <w:bCs/>
          <w:color w:val="00B0F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B8447D">
        <w:rPr>
          <w:rFonts w:ascii="Segoe UI" w:hAnsi="Segoe UI" w:cs="Segoe UI"/>
          <w:color w:val="00B0F0"/>
          <w:sz w:val="20"/>
          <w:szCs w:val="20"/>
        </w:rPr>
        <w:t>.</w:t>
      </w:r>
    </w:p>
    <w:p w:rsidR="00A71195" w:rsidRPr="00B8447D" w:rsidRDefault="00A71195" w:rsidP="00A71195">
      <w:pPr>
        <w:pStyle w:val="p0"/>
        <w:shd w:val="clear" w:color="auto" w:fill="FFFFFF"/>
        <w:spacing w:before="0" w:beforeAutospacing="0" w:after="0" w:afterAutospacing="0"/>
        <w:ind w:firstLine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>2. Wykluczenie następuje na okres trwania okoliczności określonych w ust. 1.</w:t>
      </w:r>
    </w:p>
    <w:p w:rsidR="00A71195" w:rsidRPr="00B8447D" w:rsidRDefault="00A71195" w:rsidP="00A71195">
      <w:pPr>
        <w:pStyle w:val="p0"/>
        <w:shd w:val="clear" w:color="auto" w:fill="FFFFFF"/>
        <w:spacing w:before="0" w:beforeAutospacing="0" w:after="0" w:afterAutospacing="0"/>
        <w:ind w:left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 xml:space="preserve">3. W przypadku wykonawcy lub uczestnika konkursu wykluczonego na podstawie ust. 1, zamawiający odrzuca wniosek o dopuszczenie do udziału w postępowaniu o udzielnie zamówienia publicznego lub ofertę takiego wykonawcy lub uczestnika konkursu, nie zaprasza go do złożenia oferty wstępnej, oferty podlegającej negocjacjom, oferty dodatkowej, oferty lub oferty ostatecznej, nie zaprasza </w:t>
      </w:r>
      <w:r w:rsidRPr="00B8447D">
        <w:rPr>
          <w:rFonts w:ascii="Segoe UI" w:hAnsi="Segoe UI" w:cs="Segoe UI"/>
          <w:color w:val="00B0F0"/>
          <w:sz w:val="20"/>
          <w:szCs w:val="20"/>
        </w:rPr>
        <w:br/>
        <w:t>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:rsidR="00A71195" w:rsidRPr="00B8447D" w:rsidRDefault="00A71195" w:rsidP="00A71195">
      <w:pPr>
        <w:pStyle w:val="p0"/>
        <w:shd w:val="clear" w:color="auto" w:fill="FFFFFF"/>
        <w:spacing w:before="0" w:beforeAutospacing="0" w:after="0" w:afterAutospacing="0"/>
        <w:ind w:left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lastRenderedPageBreak/>
        <w:t>4. Kontrola udzielania zamówień publicznych w zakresie zgodności z ust. 1 jest wykonywana zgodnie z art. 596 ustawy z dnia 11 września 2019 r. – Prawo zamówień publicznych.</w:t>
      </w:r>
    </w:p>
    <w:p w:rsidR="00A71195" w:rsidRPr="00B8447D" w:rsidRDefault="00A71195" w:rsidP="00A71195">
      <w:pPr>
        <w:pStyle w:val="p0"/>
        <w:shd w:val="clear" w:color="auto" w:fill="FFFFFF"/>
        <w:spacing w:before="0" w:beforeAutospacing="0" w:after="0" w:afterAutospacing="0"/>
        <w:ind w:left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>5. Przez ubieganie się o udzielenie zamówienia publicznego lub dopuszczenie do udziału w konkursie rozumie się odpowiednio złożenie wniosku o dopuszczenie do udziału w postępowaniu o udzielenie zamówienia publicznego lub konkursie, złożenie oferty, przystąpienie do negocjacji lub złożenie pracy konkursowej.</w:t>
      </w:r>
    </w:p>
    <w:p w:rsidR="00A71195" w:rsidRPr="00B8447D" w:rsidRDefault="00A71195" w:rsidP="00A71195">
      <w:pPr>
        <w:pStyle w:val="p0"/>
        <w:shd w:val="clear" w:color="auto" w:fill="FFFFFF"/>
        <w:spacing w:before="0" w:beforeAutospacing="0" w:after="0" w:afterAutospacing="0"/>
        <w:ind w:left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>6.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A71195" w:rsidRPr="00B8447D" w:rsidRDefault="00A71195" w:rsidP="00A71195">
      <w:pPr>
        <w:pStyle w:val="p0"/>
        <w:shd w:val="clear" w:color="auto" w:fill="FFFFFF"/>
        <w:spacing w:before="0" w:beforeAutospacing="0" w:after="0" w:afterAutospacing="0"/>
        <w:ind w:left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>7. Karę pieniężną, o której mowa w ust. 6, nakłada Prezes Urzędu Zamówień Publicznych, w drodze decyzji, w wysokości do 20 000 000 zł.</w:t>
      </w:r>
    </w:p>
    <w:p w:rsidR="00A71195" w:rsidRPr="00B8447D" w:rsidRDefault="00A71195" w:rsidP="00A71195">
      <w:pPr>
        <w:pStyle w:val="p0"/>
        <w:shd w:val="clear" w:color="auto" w:fill="FFFFFF"/>
        <w:spacing w:before="0" w:beforeAutospacing="0" w:after="0" w:afterAutospacing="0"/>
        <w:ind w:firstLine="284"/>
        <w:jc w:val="both"/>
        <w:rPr>
          <w:rFonts w:ascii="Segoe UI" w:hAnsi="Segoe UI" w:cs="Segoe UI"/>
          <w:color w:val="00B0F0"/>
          <w:sz w:val="20"/>
          <w:szCs w:val="20"/>
        </w:rPr>
      </w:pPr>
      <w:r w:rsidRPr="00B8447D">
        <w:rPr>
          <w:rFonts w:ascii="Segoe UI" w:hAnsi="Segoe UI" w:cs="Segoe UI"/>
          <w:color w:val="00B0F0"/>
          <w:sz w:val="20"/>
          <w:szCs w:val="20"/>
        </w:rPr>
        <w:t>8. Wpływy z kar pieniężnych, o których mowa w ust. 6, stanowią dochód budżetu państwa.</w:t>
      </w:r>
    </w:p>
    <w:p w:rsidR="00A71195" w:rsidRPr="00A71195" w:rsidRDefault="00A71195" w:rsidP="00A71195">
      <w:pPr>
        <w:suppressAutoHyphens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F632BD" w:rsidRPr="00E449EC" w:rsidRDefault="00A71195" w:rsidP="00F632BD">
      <w:pPr>
        <w:pStyle w:val="Akapitzlist"/>
        <w:numPr>
          <w:ilvl w:val="0"/>
          <w:numId w:val="21"/>
        </w:numPr>
        <w:suppressAutoHyphens/>
        <w:spacing w:after="120"/>
        <w:ind w:left="284" w:hanging="284"/>
        <w:contextualSpacing w:val="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F632B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 związku z przyjęciem w dniu</w:t>
      </w:r>
      <w:r w:rsidRPr="00F632BD">
        <w:rPr>
          <w:rFonts w:ascii="Segoe UI" w:hAnsi="Segoe UI" w:cs="Segoe UI"/>
          <w:color w:val="222222"/>
          <w:sz w:val="20"/>
          <w:szCs w:val="20"/>
        </w:rPr>
        <w:t xml:space="preserve"> 8 kwietnia 2022 r. </w:t>
      </w:r>
      <w:r w:rsidR="00F632BD" w:rsidRPr="00F632BD">
        <w:rPr>
          <w:rFonts w:ascii="Segoe UI" w:hAnsi="Segoe UI" w:cs="Segoe UI"/>
          <w:color w:val="222222"/>
          <w:sz w:val="20"/>
          <w:szCs w:val="20"/>
        </w:rPr>
        <w:t>przez Radę</w:t>
      </w:r>
      <w:r w:rsidRPr="00F632BD">
        <w:rPr>
          <w:rFonts w:ascii="Segoe UI" w:hAnsi="Segoe UI" w:cs="Segoe UI"/>
          <w:color w:val="222222"/>
          <w:sz w:val="20"/>
          <w:szCs w:val="20"/>
        </w:rPr>
        <w:t xml:space="preserve"> Unii Europejskiej </w:t>
      </w:r>
      <w:r w:rsidR="00F632BD" w:rsidRPr="00F632BD">
        <w:rPr>
          <w:rFonts w:ascii="Segoe UI" w:hAnsi="Segoe UI" w:cs="Segoe UI"/>
          <w:color w:val="222222"/>
          <w:sz w:val="20"/>
          <w:szCs w:val="20"/>
        </w:rPr>
        <w:t>rozporządzenia</w:t>
      </w:r>
      <w:r w:rsidRPr="00F632BD">
        <w:rPr>
          <w:rFonts w:ascii="Segoe UI" w:hAnsi="Segoe UI" w:cs="Segoe UI"/>
          <w:color w:val="222222"/>
          <w:sz w:val="20"/>
          <w:szCs w:val="20"/>
        </w:rPr>
        <w:t xml:space="preserve"> (UE) 2022/576 w sprawie zmiany rozporządzenia (UE) nr 833/2014 dotyczącego środków ograniczających w związku z działaniami Rosji destabilizującymi sytuację na Ukrainie (Dz. Urz. UE nr L 111 z 8.4.2022, str. 1), które ustanawia </w:t>
      </w:r>
      <w:r w:rsidRPr="00F632BD">
        <w:rPr>
          <w:rStyle w:val="Pogrubienie"/>
          <w:rFonts w:ascii="Segoe UI" w:hAnsi="Segoe UI" w:cs="Segoe UI"/>
          <w:b w:val="0"/>
          <w:color w:val="222222"/>
          <w:sz w:val="20"/>
          <w:szCs w:val="20"/>
        </w:rPr>
        <w:t>ogólnounijny zakaz udziału rosyjskich wykonawców w zamówieniach publicznych i koncesjach</w:t>
      </w:r>
      <w:r w:rsidRPr="00F632BD">
        <w:rPr>
          <w:rFonts w:ascii="Segoe UI" w:hAnsi="Segoe UI" w:cs="Segoe UI"/>
          <w:b/>
          <w:color w:val="222222"/>
          <w:sz w:val="20"/>
          <w:szCs w:val="20"/>
        </w:rPr>
        <w:t> </w:t>
      </w:r>
      <w:r w:rsidRPr="00F632BD">
        <w:rPr>
          <w:rFonts w:ascii="Segoe UI" w:hAnsi="Segoe UI" w:cs="Segoe UI"/>
          <w:color w:val="222222"/>
          <w:sz w:val="20"/>
          <w:szCs w:val="20"/>
        </w:rPr>
        <w:t>udzielanych w państwach członkowskich Unii Eu</w:t>
      </w:r>
      <w:r w:rsidR="00F632BD" w:rsidRPr="00F632BD">
        <w:rPr>
          <w:rFonts w:ascii="Segoe UI" w:hAnsi="Segoe UI" w:cs="Segoe UI"/>
          <w:color w:val="222222"/>
          <w:sz w:val="20"/>
          <w:szCs w:val="20"/>
        </w:rPr>
        <w:t>ropejskiej</w:t>
      </w:r>
      <w:r w:rsidR="00147F9C">
        <w:rPr>
          <w:rFonts w:ascii="Segoe UI" w:hAnsi="Segoe UI" w:cs="Segoe UI"/>
          <w:color w:val="222222"/>
          <w:sz w:val="20"/>
          <w:szCs w:val="20"/>
        </w:rPr>
        <w:t>,</w:t>
      </w:r>
      <w:r w:rsidR="00F632BD">
        <w:rPr>
          <w:rFonts w:ascii="Open Sans" w:hAnsi="Open Sans" w:cs="Open Sans"/>
          <w:color w:val="222222"/>
        </w:rPr>
        <w:t xml:space="preserve"> </w:t>
      </w:r>
      <w:r w:rsidR="00F632BD" w:rsidRPr="00F632BD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w Rozdziale I SWZ w pkt 5. </w:t>
      </w:r>
      <w:r w:rsidR="00F632BD" w:rsidRPr="00F632BD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PODSTAWY WYKLUCZENIA ORAZ WARUNKI UDZIAŁU W POSTĘPOWANIU </w:t>
      </w:r>
      <w:r w:rsidR="00F632BD" w:rsidRPr="00F632BD">
        <w:rPr>
          <w:rFonts w:ascii="Segoe UI" w:hAnsi="Segoe UI" w:cs="Segoe UI"/>
          <w:bCs/>
          <w:sz w:val="20"/>
          <w:szCs w:val="20"/>
          <w:lang w:eastAsia="zh-CN"/>
        </w:rPr>
        <w:t>dodaje się poniższą treść</w:t>
      </w:r>
      <w:r w:rsidR="00F632BD">
        <w:rPr>
          <w:rFonts w:ascii="Segoe UI" w:hAnsi="Segoe UI" w:cs="Segoe UI"/>
          <w:bCs/>
          <w:sz w:val="20"/>
          <w:szCs w:val="20"/>
          <w:lang w:eastAsia="zh-CN"/>
        </w:rPr>
        <w:t>:</w:t>
      </w:r>
    </w:p>
    <w:p w:rsidR="00E449EC" w:rsidRPr="00E449EC" w:rsidRDefault="00E449EC" w:rsidP="00E449EC">
      <w:pPr>
        <w:suppressAutoHyphens/>
        <w:ind w:firstLine="284"/>
        <w:jc w:val="both"/>
        <w:rPr>
          <w:rFonts w:ascii="Segoe UI" w:hAnsi="Segoe UI" w:cs="Segoe UI"/>
          <w:b/>
          <w:color w:val="00B0F0"/>
          <w:sz w:val="20"/>
          <w:szCs w:val="20"/>
          <w:shd w:val="clear" w:color="auto" w:fill="FFFFFF"/>
        </w:rPr>
      </w:pPr>
      <w:r w:rsidRPr="00E449EC">
        <w:rPr>
          <w:rFonts w:ascii="Segoe UI" w:hAnsi="Segoe UI" w:cs="Segoe UI"/>
          <w:b/>
          <w:bCs/>
          <w:color w:val="00B0F0"/>
          <w:sz w:val="20"/>
          <w:szCs w:val="20"/>
          <w:lang w:eastAsia="zh-CN"/>
        </w:rPr>
        <w:t>Uwaga I</w:t>
      </w:r>
      <w:r>
        <w:rPr>
          <w:rFonts w:ascii="Segoe UI" w:hAnsi="Segoe UI" w:cs="Segoe UI"/>
          <w:b/>
          <w:color w:val="00B0F0"/>
          <w:sz w:val="20"/>
          <w:szCs w:val="20"/>
          <w:shd w:val="clear" w:color="auto" w:fill="FFFFFF"/>
        </w:rPr>
        <w:t>I</w:t>
      </w:r>
    </w:p>
    <w:p w:rsidR="00A71195" w:rsidRPr="00B8447D" w:rsidRDefault="00A71195" w:rsidP="00F632BD">
      <w:pPr>
        <w:pStyle w:val="Akapitzlist"/>
        <w:suppressAutoHyphens/>
        <w:ind w:left="284"/>
        <w:jc w:val="both"/>
        <w:rPr>
          <w:rFonts w:ascii="Segoe UI" w:hAnsi="Segoe UI" w:cs="Segoe UI"/>
          <w:i/>
          <w:color w:val="00B0F0"/>
          <w:sz w:val="20"/>
          <w:szCs w:val="20"/>
          <w:shd w:val="clear" w:color="auto" w:fill="FFFFFF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1. Zakazuje się udzielania lub dalszego wykonywania wszelkich zamówień publicznych lub koncesji objętych zakresem dyrektyw w sprawie zamówień publicznych, a także zakresem art. 10 ust. 1, 3,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ust. 6 lit. a)–e), ust. 8, 9 i 10, art. 11, 12, 13 i 14 dyrektywy 2014/23/UE, art. 7 i 8, art. 10 lit. b)–f)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i lit. h)–j) dyrektywy 2014/24/UE, art. 18, art. 21 lit. b)–e) i lit. g)–i), art. 29 i 30 dyrektywy 2014/25/UE oraz art. 13 lit. a)–d), lit. f)–h) i lit. j) dyrektywy 2009/81/WE na rzecz lub z udziałem: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firstLine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a) obywateli rosyjskich lub osób fizycznych lub prawnych, podmiotów lub organów z siedzibą w Rosji;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b) osób prawnych, podmiotów lub organów, do których prawa własności bezpośrednio lub pośrednio w ponad 50 % należą do podmiotu, o którym mowa w lit. a) niniejszego ustępu; lub</w:t>
      </w:r>
    </w:p>
    <w:p w:rsidR="00147F9C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c) osób fizycznych lub prawnych, podmiotów lub organów działających w imieniu lub pod kierunkiem podmiotu, o którym mowa w lit. a) lub b) niniejszego ustępu,</w:t>
      </w:r>
      <w:r w:rsidR="00F632BD" w:rsidRPr="00B8447D">
        <w:rPr>
          <w:rFonts w:ascii="Segoe UI" w:hAnsi="Segoe UI" w:cs="Segoe UI"/>
          <w:i/>
          <w:color w:val="00B0F0"/>
          <w:sz w:val="20"/>
          <w:szCs w:val="20"/>
        </w:rPr>
        <w:t xml:space="preserve"> 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2. Na zasadzie odstępstwa od ust. 1 właściwe organy mogą zezwolić na udzielenie i dalsze wykonywanie zamówień, których przedmiotem jest: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a) eksploatacja, utrzymanie, likwidacja potencjału jądrowego do zastosowań cywilnych,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i gospodarowanie odpadami promieniotwórczymi pochodzącymi z tego potencjału, zaopatrzenie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firstLine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b) współpraca międzyrządowa w ramach programów kosmicznych;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c) dostarczanie absolutnie niezbędnych towarów lub świadczenie absolutnie niezbędnych usług, które mogą być dostarczane lub świadczone wyłącznie przez osoby, o których mowa w ust. 1,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lub których dostarczenie lub świadczenie w wystarczającej ilości lub w wystarczającym wymiarze mogą zapewnić wyłącznie osoby, o których mowa w ust. 1;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d) funkcjonowanie przedstawicielstw dyplomatycznych i konsularnych Unii i państw członkowskich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w Rosji, w tym delegatur, ambasad i misji, lub organizacji międzynarodowych w Rosji korzystających z immunitetów zgodnie z prawem międzynarodowym;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e) zakup, przywóz lub transport gazu ziemnego i ropy naftowej, w tym produktów rafinacji ropy naftowej, a także tytanu, aluminium, miedzi, niklu, palladu i rudy żelaza z Rosji lub przez Rosję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do Unii; lub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f) zakup, przywóz lub transport do Unii węgla oraz innych stałych paliw kopalnych, wymienionych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w załączniku XXII, do dnia 10 sierpnia 2022 r.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3. Zainteresowane państwo członkowskie informuje pozostałe państwa członkowskie oraz Komisję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o każdym zezwoleniu udzielonym na podstawie niniejszego artykułu w terminie dwóch tygodni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od udzielenia zezwolenia.</w:t>
      </w:r>
    </w:p>
    <w:p w:rsidR="00A71195" w:rsidRPr="00B8447D" w:rsidRDefault="00A71195" w:rsidP="00F632BD">
      <w:pPr>
        <w:pStyle w:val="NormalnyWeb"/>
        <w:spacing w:before="0" w:beforeAutospacing="0" w:after="0" w:afterAutospacing="0"/>
        <w:ind w:left="284"/>
        <w:jc w:val="both"/>
        <w:rPr>
          <w:rFonts w:ascii="Segoe UI" w:hAnsi="Segoe UI" w:cs="Segoe UI"/>
          <w:i/>
          <w:color w:val="00B0F0"/>
          <w:sz w:val="20"/>
          <w:szCs w:val="20"/>
        </w:rPr>
      </w:pP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 xml:space="preserve">4. Zakazy ustanowione w ust. 1 nie mają zastosowania do wykonywania do dnia </w:t>
      </w:r>
      <w:r w:rsidR="00F632BD"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br/>
      </w:r>
      <w:r w:rsidRPr="00B8447D">
        <w:rPr>
          <w:rStyle w:val="Uwydatnienie"/>
          <w:rFonts w:ascii="Segoe UI" w:hAnsi="Segoe UI" w:cs="Segoe UI"/>
          <w:i w:val="0"/>
          <w:color w:val="00B0F0"/>
          <w:sz w:val="20"/>
          <w:szCs w:val="20"/>
        </w:rPr>
        <w:t>10 października 2022 r. umów zawartych przed dniem 9 kwietnia 2022 r.</w:t>
      </w:r>
    </w:p>
    <w:p w:rsidR="00A71195" w:rsidRDefault="00A71195" w:rsidP="00A71195">
      <w:pPr>
        <w:suppressAutoHyphens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50411C" w:rsidRDefault="0050411C" w:rsidP="0050411C">
      <w:pPr>
        <w:rPr>
          <w:rFonts w:ascii="Segoe UI" w:hAnsi="Segoe UI" w:cs="Segoe UI"/>
          <w:bCs/>
          <w:i/>
          <w:sz w:val="16"/>
          <w:szCs w:val="16"/>
        </w:rPr>
      </w:pPr>
      <w:bookmarkStart w:id="0" w:name="_GoBack"/>
      <w:bookmarkEnd w:id="0"/>
    </w:p>
    <w:p w:rsidR="00DE6DF3" w:rsidRDefault="00DE6DF3" w:rsidP="00DE6DF3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Prezydent</w:t>
      </w:r>
      <w:r w:rsidRPr="00353E4C">
        <w:rPr>
          <w:rFonts w:ascii="Segoe UI" w:hAnsi="Segoe UI" w:cs="Segoe UI"/>
          <w:b/>
          <w:bCs/>
          <w:sz w:val="20"/>
          <w:szCs w:val="20"/>
        </w:rPr>
        <w:t xml:space="preserve"> Miasta</w:t>
      </w:r>
    </w:p>
    <w:p w:rsidR="00DE6DF3" w:rsidRDefault="00DE6DF3" w:rsidP="00DE6DF3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    Piotr Jedliński</w:t>
      </w:r>
    </w:p>
    <w:p w:rsidR="00DE6DF3" w:rsidRDefault="00DE6DF3" w:rsidP="00DE6DF3">
      <w:pPr>
        <w:ind w:left="6372"/>
        <w:rPr>
          <w:rFonts w:ascii="Segoe UI" w:hAnsi="Segoe UI" w:cs="Segoe UI"/>
          <w:bCs/>
          <w:i/>
          <w:sz w:val="16"/>
          <w:szCs w:val="16"/>
        </w:rPr>
      </w:pPr>
    </w:p>
    <w:p w:rsidR="00DE6DF3" w:rsidRPr="00563ED4" w:rsidRDefault="00DE6DF3" w:rsidP="00DE6DF3">
      <w:pPr>
        <w:ind w:left="6372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 xml:space="preserve">      </w:t>
      </w:r>
      <w:r w:rsidRPr="00563ED4">
        <w:rPr>
          <w:rFonts w:ascii="Segoe UI" w:hAnsi="Segoe UI" w:cs="Segoe UI"/>
          <w:sz w:val="10"/>
          <w:szCs w:val="10"/>
        </w:rPr>
        <w:t xml:space="preserve">          dokument opatrzony kwalifikowanym      </w:t>
      </w:r>
    </w:p>
    <w:p w:rsidR="00DE6DF3" w:rsidRPr="00563ED4" w:rsidRDefault="00DE6DF3" w:rsidP="00DE6DF3">
      <w:pPr>
        <w:tabs>
          <w:tab w:val="left" w:pos="7120"/>
          <w:tab w:val="left" w:pos="7341"/>
        </w:tabs>
        <w:ind w:left="6372"/>
        <w:rPr>
          <w:rFonts w:ascii="Segoe UI" w:hAnsi="Segoe UI" w:cs="Segoe UI"/>
          <w:sz w:val="10"/>
          <w:szCs w:val="10"/>
        </w:rPr>
      </w:pPr>
      <w:r w:rsidRPr="00563ED4">
        <w:rPr>
          <w:rFonts w:ascii="Segoe UI" w:hAnsi="Segoe UI" w:cs="Segoe UI"/>
          <w:sz w:val="10"/>
          <w:szCs w:val="10"/>
        </w:rPr>
        <w:t xml:space="preserve">         </w:t>
      </w:r>
      <w:r>
        <w:rPr>
          <w:rFonts w:ascii="Segoe UI" w:hAnsi="Segoe UI" w:cs="Segoe UI"/>
          <w:sz w:val="10"/>
          <w:szCs w:val="10"/>
        </w:rPr>
        <w:t xml:space="preserve">       </w:t>
      </w:r>
      <w:r w:rsidRPr="00563ED4">
        <w:rPr>
          <w:rFonts w:ascii="Segoe UI" w:hAnsi="Segoe UI" w:cs="Segoe UI"/>
          <w:sz w:val="10"/>
          <w:szCs w:val="10"/>
        </w:rPr>
        <w:t xml:space="preserve">           podpisem elektronicznym</w:t>
      </w:r>
    </w:p>
    <w:p w:rsidR="0050411C" w:rsidRDefault="0050411C" w:rsidP="0050411C">
      <w:pPr>
        <w:rPr>
          <w:rFonts w:ascii="Segoe UI" w:hAnsi="Segoe UI" w:cs="Segoe UI"/>
          <w:bCs/>
          <w:i/>
          <w:sz w:val="16"/>
          <w:szCs w:val="16"/>
        </w:rPr>
      </w:pPr>
    </w:p>
    <w:p w:rsidR="0050411C" w:rsidRDefault="0050411C" w:rsidP="0050411C">
      <w:pPr>
        <w:rPr>
          <w:rFonts w:ascii="Segoe UI" w:hAnsi="Segoe UI" w:cs="Segoe UI"/>
          <w:bCs/>
          <w:i/>
          <w:sz w:val="16"/>
          <w:szCs w:val="16"/>
        </w:rPr>
      </w:pPr>
    </w:p>
    <w:p w:rsidR="0050411C" w:rsidRDefault="0050411C" w:rsidP="0050411C">
      <w:pPr>
        <w:rPr>
          <w:rFonts w:ascii="Segoe UI" w:hAnsi="Segoe UI" w:cs="Segoe UI"/>
          <w:bCs/>
          <w:i/>
          <w:sz w:val="16"/>
          <w:szCs w:val="16"/>
        </w:rPr>
      </w:pPr>
    </w:p>
    <w:p w:rsidR="00A058AA" w:rsidRDefault="00A058AA"/>
    <w:sectPr w:rsidR="00A058AA" w:rsidSect="00147F9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059DFC"/>
    <w:multiLevelType w:val="hybridMultilevel"/>
    <w:tmpl w:val="C69A2A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869"/>
    <w:multiLevelType w:val="hybridMultilevel"/>
    <w:tmpl w:val="8D686BC0"/>
    <w:lvl w:ilvl="0" w:tplc="6E52B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7B41"/>
    <w:multiLevelType w:val="hybridMultilevel"/>
    <w:tmpl w:val="716E09FC"/>
    <w:lvl w:ilvl="0" w:tplc="59741D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584E"/>
    <w:multiLevelType w:val="hybridMultilevel"/>
    <w:tmpl w:val="12E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4813"/>
    <w:multiLevelType w:val="hybridMultilevel"/>
    <w:tmpl w:val="6974E89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9" w15:restartNumberingAfterBreak="0">
    <w:nsid w:val="2EE95853"/>
    <w:multiLevelType w:val="hybridMultilevel"/>
    <w:tmpl w:val="6974E89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4AA24F1"/>
    <w:multiLevelType w:val="hybridMultilevel"/>
    <w:tmpl w:val="C30C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E8A7292"/>
    <w:multiLevelType w:val="hybridMultilevel"/>
    <w:tmpl w:val="7284B6B4"/>
    <w:lvl w:ilvl="0" w:tplc="7E2E3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A76F0"/>
    <w:multiLevelType w:val="hybridMultilevel"/>
    <w:tmpl w:val="69D81658"/>
    <w:lvl w:ilvl="0" w:tplc="B8F048F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02D6C"/>
    <w:multiLevelType w:val="hybridMultilevel"/>
    <w:tmpl w:val="4FA251C0"/>
    <w:lvl w:ilvl="0" w:tplc="59741D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5939"/>
    <w:multiLevelType w:val="hybridMultilevel"/>
    <w:tmpl w:val="500EB42A"/>
    <w:lvl w:ilvl="0" w:tplc="43381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B3785"/>
    <w:multiLevelType w:val="hybridMultilevel"/>
    <w:tmpl w:val="DBF01CEE"/>
    <w:lvl w:ilvl="0" w:tplc="A148CC36">
      <w:start w:val="7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47BE1"/>
    <w:multiLevelType w:val="hybridMultilevel"/>
    <w:tmpl w:val="8A960C9E"/>
    <w:lvl w:ilvl="0" w:tplc="B8F048F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F0602"/>
    <w:multiLevelType w:val="hybridMultilevel"/>
    <w:tmpl w:val="40A696E4"/>
    <w:lvl w:ilvl="0" w:tplc="BA1A1E96">
      <w:start w:val="9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957AD"/>
    <w:multiLevelType w:val="hybridMultilevel"/>
    <w:tmpl w:val="98B02104"/>
    <w:lvl w:ilvl="0" w:tplc="19424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006DD"/>
    <w:multiLevelType w:val="hybridMultilevel"/>
    <w:tmpl w:val="6922A16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855"/>
    <w:multiLevelType w:val="hybridMultilevel"/>
    <w:tmpl w:val="96188A36"/>
    <w:lvl w:ilvl="0" w:tplc="9BEAD7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0"/>
  </w:num>
  <w:num w:numId="5">
    <w:abstractNumId w:val="1"/>
  </w:num>
  <w:num w:numId="6">
    <w:abstractNumId w:val="17"/>
  </w:num>
  <w:num w:numId="7">
    <w:abstractNumId w:val="13"/>
  </w:num>
  <w:num w:numId="8">
    <w:abstractNumId w:val="18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20"/>
  </w:num>
  <w:num w:numId="14">
    <w:abstractNumId w:val="21"/>
  </w:num>
  <w:num w:numId="15">
    <w:abstractNumId w:val="8"/>
  </w:num>
  <w:num w:numId="16">
    <w:abstractNumId w:val="4"/>
  </w:num>
  <w:num w:numId="17">
    <w:abstractNumId w:val="19"/>
  </w:num>
  <w:num w:numId="18">
    <w:abstractNumId w:val="9"/>
  </w:num>
  <w:num w:numId="19">
    <w:abstractNumId w:val="6"/>
  </w:num>
  <w:num w:numId="20">
    <w:abstractNumId w:val="0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1C"/>
    <w:rsid w:val="00147F9C"/>
    <w:rsid w:val="00151CDC"/>
    <w:rsid w:val="00220D80"/>
    <w:rsid w:val="0027017F"/>
    <w:rsid w:val="002B5C3A"/>
    <w:rsid w:val="002E788E"/>
    <w:rsid w:val="0031048F"/>
    <w:rsid w:val="003B0042"/>
    <w:rsid w:val="00493B85"/>
    <w:rsid w:val="0050411C"/>
    <w:rsid w:val="0059017A"/>
    <w:rsid w:val="007245DE"/>
    <w:rsid w:val="0081447F"/>
    <w:rsid w:val="008255EC"/>
    <w:rsid w:val="008B290F"/>
    <w:rsid w:val="00946CE1"/>
    <w:rsid w:val="009C3F5A"/>
    <w:rsid w:val="00A058AA"/>
    <w:rsid w:val="00A71195"/>
    <w:rsid w:val="00AF4851"/>
    <w:rsid w:val="00B8447D"/>
    <w:rsid w:val="00C822C8"/>
    <w:rsid w:val="00CD34A6"/>
    <w:rsid w:val="00D920D6"/>
    <w:rsid w:val="00DE6DF3"/>
    <w:rsid w:val="00E227FA"/>
    <w:rsid w:val="00E449EC"/>
    <w:rsid w:val="00EB0C8A"/>
    <w:rsid w:val="00EC1908"/>
    <w:rsid w:val="00EF5E4C"/>
    <w:rsid w:val="00F30B39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6A43"/>
  <w15:chartTrackingRefBased/>
  <w15:docId w15:val="{2775EEF6-CF06-4FD8-BF99-85E8A956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bullet,Lista punktowana1,Lista punktowana2,Lista punktowana3,Obiekt,List Paragraph1,Akapit z listą1"/>
    <w:basedOn w:val="Normalny"/>
    <w:link w:val="AkapitzlistZnak"/>
    <w:uiPriority w:val="34"/>
    <w:qFormat/>
    <w:rsid w:val="0050411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List bullet Znak,Lista punktowana1 Znak,Lista punktowana2 Znak,Lista punktowana3 Znak,Obiekt Znak,List Paragraph1 Znak,Akapit z listą1 Znak"/>
    <w:link w:val="Akapitzlist"/>
    <w:uiPriority w:val="34"/>
    <w:qFormat/>
    <w:locked/>
    <w:rsid w:val="00504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411C"/>
    <w:pPr>
      <w:suppressAutoHyphens/>
      <w:jc w:val="center"/>
    </w:pPr>
    <w:rPr>
      <w:b/>
      <w:i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0411C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E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3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0">
    <w:name w:val="p0"/>
    <w:basedOn w:val="Normalny"/>
    <w:rsid w:val="008255EC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8255EC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8255EC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8255E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8255E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7119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71195"/>
    <w:rPr>
      <w:b/>
      <w:bCs/>
    </w:rPr>
  </w:style>
  <w:style w:type="character" w:styleId="Uwydatnienie">
    <w:name w:val="Emphasis"/>
    <w:basedOn w:val="Domylnaczcionkaakapitu"/>
    <w:uiPriority w:val="20"/>
    <w:qFormat/>
    <w:rsid w:val="00A71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2</cp:revision>
  <cp:lastPrinted>2022-04-22T11:14:00Z</cp:lastPrinted>
  <dcterms:created xsi:type="dcterms:W3CDTF">2022-04-22T12:20:00Z</dcterms:created>
  <dcterms:modified xsi:type="dcterms:W3CDTF">2022-04-22T12:20:00Z</dcterms:modified>
</cp:coreProperties>
</file>