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A2B" w:rsidRPr="00DB1369" w:rsidRDefault="00871A2B" w:rsidP="00285094">
      <w:pPr>
        <w:pStyle w:val="Tytu"/>
        <w:spacing w:after="120"/>
        <w:ind w:left="0" w:right="0"/>
        <w:rPr>
          <w:rFonts w:ascii="Segoe UI" w:hAnsi="Segoe UI" w:cs="Segoe UI"/>
          <w:i w:val="0"/>
          <w:iCs/>
          <w:sz w:val="20"/>
        </w:rPr>
      </w:pPr>
      <w:r w:rsidRPr="00DB1369">
        <w:rPr>
          <w:rFonts w:ascii="Segoe UI" w:hAnsi="Segoe UI" w:cs="Segoe UI"/>
          <w:i w:val="0"/>
          <w:iCs/>
          <w:sz w:val="20"/>
        </w:rPr>
        <w:t>PREZYDENT MIASTA KOSZALINA</w:t>
      </w:r>
    </w:p>
    <w:p w:rsidR="00BF5AFF" w:rsidRDefault="00871A2B" w:rsidP="00BF5AFF">
      <w:pPr>
        <w:tabs>
          <w:tab w:val="left" w:pos="11880"/>
        </w:tabs>
        <w:spacing w:after="120"/>
        <w:jc w:val="center"/>
        <w:rPr>
          <w:rFonts w:ascii="Segoe UI" w:hAnsi="Segoe UI" w:cs="Segoe UI"/>
          <w:b/>
          <w:iCs/>
          <w:sz w:val="20"/>
          <w:szCs w:val="20"/>
        </w:rPr>
      </w:pPr>
      <w:r w:rsidRPr="00DB1369">
        <w:rPr>
          <w:rFonts w:ascii="Segoe UI" w:hAnsi="Segoe UI" w:cs="Segoe UI"/>
          <w:b/>
          <w:iCs/>
          <w:sz w:val="20"/>
          <w:szCs w:val="20"/>
        </w:rPr>
        <w:t>ogłasza przetarg ustn</w:t>
      </w:r>
      <w:r w:rsidR="001B229A" w:rsidRPr="00DB1369">
        <w:rPr>
          <w:rFonts w:ascii="Segoe UI" w:hAnsi="Segoe UI" w:cs="Segoe UI"/>
          <w:b/>
          <w:iCs/>
          <w:sz w:val="20"/>
          <w:szCs w:val="20"/>
        </w:rPr>
        <w:t>y</w:t>
      </w:r>
      <w:r w:rsidRPr="00DB1369">
        <w:rPr>
          <w:rFonts w:ascii="Segoe UI" w:hAnsi="Segoe UI" w:cs="Segoe UI"/>
          <w:b/>
          <w:iCs/>
          <w:sz w:val="20"/>
          <w:szCs w:val="20"/>
        </w:rPr>
        <w:t xml:space="preserve"> nieograniczon</w:t>
      </w:r>
      <w:r w:rsidR="001B229A" w:rsidRPr="00DB1369">
        <w:rPr>
          <w:rFonts w:ascii="Segoe UI" w:hAnsi="Segoe UI" w:cs="Segoe UI"/>
          <w:b/>
          <w:iCs/>
          <w:sz w:val="20"/>
          <w:szCs w:val="20"/>
        </w:rPr>
        <w:t>y</w:t>
      </w:r>
      <w:r w:rsidRPr="00DB1369">
        <w:rPr>
          <w:rFonts w:ascii="Segoe UI" w:hAnsi="Segoe UI" w:cs="Segoe UI"/>
          <w:b/>
          <w:iCs/>
          <w:sz w:val="20"/>
          <w:szCs w:val="20"/>
        </w:rPr>
        <w:t xml:space="preserve"> na sprzedaż </w:t>
      </w:r>
      <w:r w:rsidR="005A2460">
        <w:rPr>
          <w:rFonts w:ascii="Segoe UI" w:hAnsi="Segoe UI" w:cs="Segoe UI"/>
          <w:b/>
          <w:iCs/>
          <w:sz w:val="20"/>
          <w:szCs w:val="20"/>
        </w:rPr>
        <w:t xml:space="preserve">zabudowanej </w:t>
      </w:r>
      <w:r w:rsidRPr="00DB1369">
        <w:rPr>
          <w:rFonts w:ascii="Segoe UI" w:hAnsi="Segoe UI" w:cs="Segoe UI"/>
          <w:b/>
          <w:iCs/>
          <w:sz w:val="20"/>
          <w:szCs w:val="20"/>
        </w:rPr>
        <w:t>nieruchomości</w:t>
      </w:r>
      <w:r w:rsidR="005A2460">
        <w:rPr>
          <w:rFonts w:ascii="Segoe UI" w:hAnsi="Segoe UI" w:cs="Segoe UI"/>
          <w:b/>
          <w:iCs/>
          <w:sz w:val="20"/>
          <w:szCs w:val="20"/>
        </w:rPr>
        <w:t xml:space="preserve"> gruntowej </w:t>
      </w:r>
      <w:r w:rsidR="00441C45" w:rsidRPr="00DB1369">
        <w:rPr>
          <w:rFonts w:ascii="Segoe UI" w:hAnsi="Segoe UI" w:cs="Segoe UI"/>
          <w:b/>
          <w:iCs/>
          <w:sz w:val="20"/>
          <w:szCs w:val="20"/>
        </w:rPr>
        <w:t>stanowiącej</w:t>
      </w:r>
      <w:r w:rsidRPr="00DB1369">
        <w:rPr>
          <w:rFonts w:ascii="Segoe UI" w:hAnsi="Segoe UI" w:cs="Segoe UI"/>
          <w:b/>
          <w:iCs/>
          <w:sz w:val="20"/>
          <w:szCs w:val="20"/>
        </w:rPr>
        <w:t xml:space="preserve"> własnoś</w:t>
      </w:r>
      <w:r w:rsidR="00441C45" w:rsidRPr="00DB1369">
        <w:rPr>
          <w:rFonts w:ascii="Segoe UI" w:hAnsi="Segoe UI" w:cs="Segoe UI"/>
          <w:b/>
          <w:iCs/>
          <w:sz w:val="20"/>
          <w:szCs w:val="20"/>
        </w:rPr>
        <w:t>ć</w:t>
      </w:r>
      <w:r w:rsidR="00285094" w:rsidRPr="00DB1369">
        <w:rPr>
          <w:rFonts w:ascii="Segoe UI" w:hAnsi="Segoe UI" w:cs="Segoe UI"/>
          <w:b/>
          <w:iCs/>
          <w:sz w:val="20"/>
          <w:szCs w:val="20"/>
        </w:rPr>
        <w:t xml:space="preserve"> Skarbu Państwa</w:t>
      </w:r>
    </w:p>
    <w:p w:rsidR="00FF3EAB" w:rsidRPr="00FF3EAB" w:rsidRDefault="00FF3EAB" w:rsidP="00FF3EAB">
      <w:pPr>
        <w:jc w:val="center"/>
        <w:rPr>
          <w:rFonts w:ascii="Segoe UI" w:hAnsi="Segoe UI" w:cs="Segoe UI"/>
          <w:b/>
          <w:sz w:val="20"/>
          <w:szCs w:val="20"/>
        </w:rPr>
      </w:pPr>
      <w:r w:rsidRPr="00FF3EAB">
        <w:rPr>
          <w:rFonts w:ascii="Segoe UI" w:hAnsi="Segoe UI" w:cs="Segoe UI"/>
          <w:b/>
          <w:sz w:val="20"/>
          <w:szCs w:val="20"/>
        </w:rPr>
        <w:t xml:space="preserve">ul. Ogrodowa 7a-7b </w:t>
      </w:r>
      <w:r>
        <w:rPr>
          <w:rFonts w:ascii="Segoe UI" w:hAnsi="Segoe UI" w:cs="Segoe UI"/>
          <w:b/>
          <w:sz w:val="20"/>
          <w:szCs w:val="20"/>
        </w:rPr>
        <w:t xml:space="preserve">   </w:t>
      </w:r>
      <w:r w:rsidRPr="00FF3EAB">
        <w:rPr>
          <w:rFonts w:ascii="Segoe UI" w:hAnsi="Segoe UI" w:cs="Segoe UI"/>
          <w:b/>
          <w:sz w:val="20"/>
          <w:szCs w:val="20"/>
        </w:rPr>
        <w:t>Koszalin</w:t>
      </w:r>
    </w:p>
    <w:tbl>
      <w:tblPr>
        <w:tblW w:w="1374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68"/>
        <w:gridCol w:w="1276"/>
        <w:gridCol w:w="1134"/>
        <w:gridCol w:w="1417"/>
        <w:gridCol w:w="1418"/>
        <w:gridCol w:w="4111"/>
        <w:gridCol w:w="1559"/>
        <w:gridCol w:w="1559"/>
      </w:tblGrid>
      <w:tr w:rsidR="00FF3EAB" w:rsidRPr="00DB1369" w:rsidTr="00FF3EAB">
        <w:trPr>
          <w:trHeight w:val="662"/>
          <w:jc w:val="center"/>
        </w:trPr>
        <w:tc>
          <w:tcPr>
            <w:tcW w:w="1268" w:type="dxa"/>
            <w:vMerge w:val="restart"/>
            <w:vAlign w:val="center"/>
          </w:tcPr>
          <w:p w:rsidR="00FF3EAB" w:rsidRPr="00DB1369" w:rsidRDefault="00FF3EAB" w:rsidP="00BF5A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B1369">
              <w:rPr>
                <w:rFonts w:ascii="Segoe UI" w:hAnsi="Segoe UI" w:cs="Segoe UI"/>
                <w:sz w:val="20"/>
                <w:szCs w:val="20"/>
              </w:rPr>
              <w:t>Nr księgi wieczystej</w:t>
            </w:r>
          </w:p>
        </w:tc>
        <w:tc>
          <w:tcPr>
            <w:tcW w:w="1276" w:type="dxa"/>
            <w:vMerge w:val="restart"/>
            <w:vAlign w:val="center"/>
          </w:tcPr>
          <w:p w:rsidR="00FF3EAB" w:rsidRPr="00DB1369" w:rsidRDefault="00FF3EAB" w:rsidP="00FF3EA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B1369">
              <w:rPr>
                <w:rFonts w:ascii="Segoe UI" w:hAnsi="Segoe UI" w:cs="Segoe UI"/>
                <w:sz w:val="20"/>
                <w:szCs w:val="20"/>
              </w:rPr>
              <w:t>Numer:</w:t>
            </w:r>
          </w:p>
          <w:p w:rsidR="00FF3EAB" w:rsidRPr="00DB1369" w:rsidRDefault="00FF3EAB" w:rsidP="00FF3EA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FF3EAB" w:rsidRPr="00DB1369" w:rsidRDefault="00FF3EAB" w:rsidP="00FF3EAB">
            <w:pPr>
              <w:pBdr>
                <w:bottom w:val="single" w:sz="6" w:space="1" w:color="auto"/>
              </w:pBd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B1369">
              <w:rPr>
                <w:rFonts w:ascii="Segoe UI" w:hAnsi="Segoe UI" w:cs="Segoe UI"/>
                <w:sz w:val="20"/>
                <w:szCs w:val="20"/>
              </w:rPr>
              <w:t>obrębu</w:t>
            </w:r>
          </w:p>
          <w:p w:rsidR="00FF3EAB" w:rsidRDefault="00FF3EAB" w:rsidP="00FF3EA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działek</w:t>
            </w:r>
          </w:p>
          <w:p w:rsidR="00FF3EAB" w:rsidRPr="00DB1369" w:rsidRDefault="00FF3EAB" w:rsidP="0015507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FF3EAB" w:rsidRPr="00DB1369" w:rsidRDefault="00FF3EAB" w:rsidP="0015507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B1369">
              <w:rPr>
                <w:rFonts w:ascii="Segoe UI" w:hAnsi="Segoe UI" w:cs="Segoe UI"/>
                <w:sz w:val="20"/>
                <w:szCs w:val="20"/>
              </w:rPr>
              <w:t>Powierzchnia</w:t>
            </w:r>
          </w:p>
          <w:p w:rsidR="00FF3EAB" w:rsidRPr="00DB1369" w:rsidRDefault="00FF3EAB" w:rsidP="0015507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F3EAB" w:rsidRDefault="00FF3EAB" w:rsidP="006E5146">
            <w:pPr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DB1369">
              <w:rPr>
                <w:rFonts w:ascii="Segoe UI" w:hAnsi="Segoe UI" w:cs="Segoe UI"/>
                <w:sz w:val="20"/>
                <w:szCs w:val="20"/>
              </w:rPr>
              <w:t>Przeznaczenie nieruchomości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 xml:space="preserve"> </w:t>
            </w:r>
            <w:r w:rsidRPr="00DB1369">
              <w:rPr>
                <w:rFonts w:ascii="Segoe UI" w:hAnsi="Segoe UI" w:cs="Segoe UI"/>
                <w:sz w:val="20"/>
                <w:szCs w:val="20"/>
              </w:rPr>
              <w:t xml:space="preserve">i sposób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jej </w:t>
            </w:r>
            <w:r w:rsidRPr="00DB1369">
              <w:rPr>
                <w:rFonts w:ascii="Segoe UI" w:hAnsi="Segoe UI" w:cs="Segoe UI"/>
                <w:sz w:val="20"/>
                <w:szCs w:val="20"/>
              </w:rPr>
              <w:t xml:space="preserve">zagospodarowania </w:t>
            </w:r>
          </w:p>
          <w:p w:rsidR="00FF3EAB" w:rsidRPr="006E5146" w:rsidRDefault="00FF3EAB" w:rsidP="006E5146">
            <w:pPr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F3EAB" w:rsidRPr="00DB1369" w:rsidRDefault="00FF3EAB" w:rsidP="00B60320">
            <w:pPr>
              <w:rPr>
                <w:rFonts w:ascii="Segoe UI" w:hAnsi="Segoe UI" w:cs="Segoe UI"/>
                <w:sz w:val="20"/>
                <w:szCs w:val="20"/>
              </w:rPr>
            </w:pPr>
            <w:r w:rsidRPr="00DB1369">
              <w:rPr>
                <w:rFonts w:ascii="Segoe UI" w:hAnsi="Segoe UI" w:cs="Segoe UI"/>
                <w:sz w:val="20"/>
                <w:szCs w:val="20"/>
              </w:rPr>
              <w:t xml:space="preserve">Cena wywoławcza nieruchomości </w:t>
            </w:r>
          </w:p>
          <w:p w:rsidR="00FF3EAB" w:rsidRDefault="00FF3EAB" w:rsidP="00F57BFE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</w:t>
            </w:r>
            <w:r w:rsidRPr="00DB1369">
              <w:rPr>
                <w:rFonts w:ascii="Segoe UI" w:hAnsi="Segoe UI" w:cs="Segoe UI"/>
                <w:sz w:val="20"/>
                <w:szCs w:val="20"/>
              </w:rPr>
              <w:t>etto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 [zł]</w:t>
            </w:r>
          </w:p>
          <w:p w:rsidR="00FF3EAB" w:rsidRPr="00DB1369" w:rsidRDefault="00FF3EAB" w:rsidP="0015507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F3EAB" w:rsidRDefault="00FF3EAB" w:rsidP="005A2460">
            <w:pPr>
              <w:pStyle w:val="Nagwek1"/>
              <w:pBdr>
                <w:bottom w:val="single" w:sz="6" w:space="1" w:color="auto"/>
              </w:pBdr>
              <w:rPr>
                <w:rFonts w:ascii="Segoe UI" w:hAnsi="Segoe UI" w:cs="Segoe UI"/>
                <w:sz w:val="20"/>
                <w:szCs w:val="20"/>
                <w:u w:val="none"/>
              </w:rPr>
            </w:pPr>
          </w:p>
          <w:p w:rsidR="00FF3EAB" w:rsidRPr="00B60320" w:rsidRDefault="00FF3EAB" w:rsidP="005A2460">
            <w:pPr>
              <w:pStyle w:val="Nagwek1"/>
              <w:pBdr>
                <w:bottom w:val="single" w:sz="6" w:space="1" w:color="auto"/>
              </w:pBdr>
              <w:rPr>
                <w:rFonts w:ascii="Segoe UI" w:hAnsi="Segoe UI" w:cs="Segoe UI"/>
                <w:sz w:val="20"/>
                <w:szCs w:val="20"/>
                <w:u w:val="none"/>
              </w:rPr>
            </w:pPr>
            <w:r w:rsidRPr="00DB1369">
              <w:rPr>
                <w:rFonts w:ascii="Segoe UI" w:hAnsi="Segoe UI" w:cs="Segoe UI"/>
                <w:sz w:val="20"/>
                <w:szCs w:val="20"/>
                <w:u w:val="none"/>
              </w:rPr>
              <w:t>Wadium [zł]</w:t>
            </w:r>
          </w:p>
          <w:p w:rsidR="00FF3EAB" w:rsidRPr="00DB1369" w:rsidRDefault="00FF3EAB" w:rsidP="005A246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B1369">
              <w:rPr>
                <w:rFonts w:ascii="Segoe UI" w:hAnsi="Segoe UI" w:cs="Segoe UI"/>
                <w:sz w:val="20"/>
                <w:szCs w:val="20"/>
              </w:rPr>
              <w:t>Postąpienie</w:t>
            </w:r>
          </w:p>
          <w:p w:rsidR="00FF3EAB" w:rsidRPr="00DB1369" w:rsidRDefault="00FF3EAB" w:rsidP="005A246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B1369">
              <w:rPr>
                <w:rFonts w:ascii="Segoe UI" w:hAnsi="Segoe UI" w:cs="Segoe UI"/>
                <w:sz w:val="20"/>
                <w:szCs w:val="20"/>
              </w:rPr>
              <w:t>minimalne [zł]</w:t>
            </w:r>
          </w:p>
        </w:tc>
      </w:tr>
      <w:tr w:rsidR="00BF5AFF" w:rsidRPr="00DB1369" w:rsidTr="00FF3EAB">
        <w:trPr>
          <w:trHeight w:val="847"/>
          <w:jc w:val="center"/>
        </w:trPr>
        <w:tc>
          <w:tcPr>
            <w:tcW w:w="1268" w:type="dxa"/>
            <w:vMerge/>
            <w:tcBorders>
              <w:bottom w:val="single" w:sz="6" w:space="0" w:color="auto"/>
            </w:tcBorders>
            <w:vAlign w:val="center"/>
          </w:tcPr>
          <w:p w:rsidR="00BF5AFF" w:rsidRPr="00DB1369" w:rsidRDefault="00BF5AFF" w:rsidP="0015507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6" w:space="0" w:color="auto"/>
            </w:tcBorders>
            <w:vAlign w:val="center"/>
          </w:tcPr>
          <w:p w:rsidR="00BF5AFF" w:rsidRPr="00DB1369" w:rsidRDefault="00BF5AFF" w:rsidP="0015507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F5AFF" w:rsidRPr="00DB1369" w:rsidRDefault="00FF3EAB" w:rsidP="0015507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działek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:rsidR="00BF5AFF" w:rsidRPr="00DB1369" w:rsidRDefault="00FF3EAB" w:rsidP="00B603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budynku mieszkalnego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:rsidR="00FF3EAB" w:rsidRDefault="00FF3EAB" w:rsidP="00FF3EA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FF3EAB" w:rsidRDefault="007A46DB" w:rsidP="00FF3EA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garażu </w:t>
            </w:r>
          </w:p>
          <w:p w:rsidR="00BF5AFF" w:rsidRPr="00DB1369" w:rsidRDefault="00BF5AFF" w:rsidP="00FF3EA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BF5AFF" w:rsidRPr="006E5146" w:rsidRDefault="006E5146" w:rsidP="0015507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E5146">
              <w:rPr>
                <w:rFonts w:ascii="Segoe UI" w:hAnsi="Segoe UI" w:cs="Segoe UI"/>
                <w:bCs/>
                <w:sz w:val="20"/>
                <w:szCs w:val="20"/>
              </w:rPr>
              <w:t>Termin zagospodarowania nieruchomości</w:t>
            </w:r>
          </w:p>
        </w:tc>
        <w:tc>
          <w:tcPr>
            <w:tcW w:w="1559" w:type="dxa"/>
            <w:vMerge/>
            <w:tcBorders>
              <w:bottom w:val="single" w:sz="6" w:space="0" w:color="auto"/>
            </w:tcBorders>
            <w:vAlign w:val="center"/>
          </w:tcPr>
          <w:p w:rsidR="00BF5AFF" w:rsidRPr="00DB1369" w:rsidRDefault="00BF5AFF" w:rsidP="0015507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6" w:space="0" w:color="auto"/>
            </w:tcBorders>
          </w:tcPr>
          <w:p w:rsidR="00BF5AFF" w:rsidRPr="00DB1369" w:rsidRDefault="00BF5AFF" w:rsidP="0000166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E5146" w:rsidRPr="00DB1369" w:rsidTr="00FF3EAB">
        <w:trPr>
          <w:trHeight w:val="2408"/>
          <w:jc w:val="center"/>
        </w:trPr>
        <w:tc>
          <w:tcPr>
            <w:tcW w:w="1268" w:type="dxa"/>
            <w:vMerge w:val="restart"/>
            <w:tcBorders>
              <w:top w:val="single" w:sz="6" w:space="0" w:color="auto"/>
            </w:tcBorders>
            <w:vAlign w:val="center"/>
          </w:tcPr>
          <w:p w:rsidR="00FF3EAB" w:rsidRDefault="00FF3EAB" w:rsidP="00FF3EAB">
            <w:pPr>
              <w:rPr>
                <w:rFonts w:ascii="Segoe UI" w:hAnsi="Segoe UI" w:cs="Segoe UI"/>
                <w:sz w:val="20"/>
                <w:szCs w:val="20"/>
              </w:rPr>
            </w:pPr>
            <w:r w:rsidRPr="003A2A80">
              <w:rPr>
                <w:rFonts w:ascii="Segoe UI" w:hAnsi="Segoe UI" w:cs="Segoe UI"/>
                <w:sz w:val="20"/>
                <w:szCs w:val="20"/>
              </w:rPr>
              <w:t>KO1K/</w:t>
            </w:r>
          </w:p>
          <w:p w:rsidR="006E5146" w:rsidRPr="00DB1369" w:rsidRDefault="00FF3EAB" w:rsidP="00FF3EAB">
            <w:pPr>
              <w:rPr>
                <w:rFonts w:ascii="Segoe UI" w:hAnsi="Segoe UI" w:cs="Segoe UI"/>
                <w:sz w:val="20"/>
                <w:szCs w:val="20"/>
              </w:rPr>
            </w:pPr>
            <w:r w:rsidRPr="003A2A80">
              <w:rPr>
                <w:rFonts w:ascii="Segoe UI" w:hAnsi="Segoe UI" w:cs="Segoe UI"/>
                <w:sz w:val="20"/>
                <w:szCs w:val="20"/>
              </w:rPr>
              <w:t>00001961/5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</w:tcBorders>
            <w:vAlign w:val="center"/>
          </w:tcPr>
          <w:p w:rsidR="00FF3EAB" w:rsidRPr="00DB1369" w:rsidRDefault="00FF3EAB" w:rsidP="00FF3EAB">
            <w:pPr>
              <w:pBdr>
                <w:bottom w:val="single" w:sz="6" w:space="1" w:color="auto"/>
              </w:pBd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0018</w:t>
            </w:r>
          </w:p>
          <w:p w:rsidR="00FF3EAB" w:rsidRDefault="00FF3EAB" w:rsidP="00FF3EA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60</w:t>
            </w:r>
          </w:p>
          <w:p w:rsidR="006E5146" w:rsidRPr="00DB1369" w:rsidRDefault="00FF3EAB" w:rsidP="00FF3EA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61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</w:tcBorders>
            <w:vAlign w:val="center"/>
          </w:tcPr>
          <w:p w:rsidR="006E5146" w:rsidRPr="00DB1369" w:rsidRDefault="00FF3EAB" w:rsidP="0015507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0,0922 ha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</w:tcBorders>
            <w:vAlign w:val="center"/>
          </w:tcPr>
          <w:p w:rsidR="00FF3EAB" w:rsidRPr="00995D60" w:rsidRDefault="00FF3EAB" w:rsidP="00FF3EA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95D60">
              <w:rPr>
                <w:rFonts w:ascii="Segoe UI" w:hAnsi="Segoe UI" w:cs="Segoe UI"/>
                <w:sz w:val="20"/>
                <w:szCs w:val="20"/>
              </w:rPr>
              <w:t>n</w:t>
            </w:r>
            <w:r>
              <w:rPr>
                <w:rFonts w:ascii="Segoe UI" w:hAnsi="Segoe UI" w:cs="Segoe UI"/>
                <w:sz w:val="20"/>
                <w:szCs w:val="20"/>
              </w:rPr>
              <w:t>e</w:t>
            </w:r>
            <w:r w:rsidRPr="00AE096C">
              <w:rPr>
                <w:rFonts w:ascii="Segoe UI" w:hAnsi="Segoe UI" w:cs="Segoe UI"/>
                <w:sz w:val="20"/>
                <w:szCs w:val="20"/>
              </w:rPr>
              <w:t>tto</w:t>
            </w:r>
            <w:r w:rsidRPr="00995D60">
              <w:rPr>
                <w:rFonts w:ascii="Segoe UI" w:hAnsi="Segoe UI" w:cs="Segoe UI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sz w:val="20"/>
                <w:szCs w:val="20"/>
              </w:rPr>
              <w:t>235,94</w:t>
            </w:r>
          </w:p>
          <w:p w:rsidR="00FF3EAB" w:rsidRPr="00995D60" w:rsidRDefault="00FF3EAB" w:rsidP="00FF3EA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6E5146" w:rsidRPr="00DB1369" w:rsidRDefault="00FF3EAB" w:rsidP="00FF3EA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95D60">
              <w:rPr>
                <w:rFonts w:ascii="Segoe UI" w:hAnsi="Segoe UI" w:cs="Segoe UI"/>
                <w:sz w:val="20"/>
                <w:szCs w:val="20"/>
              </w:rPr>
              <w:t>bez piwnic i poddasza -</w:t>
            </w:r>
            <w:r>
              <w:rPr>
                <w:rFonts w:ascii="Segoe UI" w:hAnsi="Segoe UI" w:cs="Segoe UI"/>
                <w:sz w:val="20"/>
                <w:szCs w:val="20"/>
              </w:rPr>
              <w:t>162,39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</w:tcBorders>
            <w:vAlign w:val="center"/>
          </w:tcPr>
          <w:p w:rsidR="006E5146" w:rsidRPr="00DB1369" w:rsidRDefault="00FF3EAB" w:rsidP="00FF3EA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54,22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F3EAB" w:rsidRPr="002B67A3" w:rsidRDefault="00FF3EAB" w:rsidP="00FF3EAB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2B67A3">
              <w:rPr>
                <w:rFonts w:ascii="Segoe UI" w:hAnsi="Segoe UI" w:cs="Segoe UI"/>
                <w:sz w:val="20"/>
                <w:szCs w:val="20"/>
              </w:rPr>
              <w:t>Zgodnie z  miejscowym planem zagospodarowania przestrzennego terenu „Monte Cassino – Fałata” w Koszalinie</w:t>
            </w:r>
            <w:r w:rsidRPr="002B67A3">
              <w:rPr>
                <w:rFonts w:ascii="Segoe UI" w:hAnsi="Segoe UI" w:cs="Segoe UI"/>
                <w:bCs/>
                <w:sz w:val="20"/>
                <w:szCs w:val="20"/>
              </w:rPr>
              <w:t xml:space="preserve">, zatwierdzonym uchwałą Nr </w:t>
            </w:r>
            <w:r w:rsidRPr="002B67A3">
              <w:rPr>
                <w:rFonts w:ascii="Segoe UI" w:hAnsi="Segoe UI" w:cs="Segoe UI"/>
                <w:sz w:val="20"/>
                <w:szCs w:val="20"/>
              </w:rPr>
              <w:t xml:space="preserve">XXI/270/2016 </w:t>
            </w:r>
            <w:r w:rsidRPr="002B67A3">
              <w:rPr>
                <w:rFonts w:ascii="Segoe UI" w:hAnsi="Segoe UI" w:cs="Segoe UI"/>
                <w:bCs/>
                <w:sz w:val="20"/>
                <w:szCs w:val="20"/>
              </w:rPr>
              <w:t>Rady Miejskiej w Koszalinie z dnia 24 maja 2016 r.</w:t>
            </w:r>
            <w:r w:rsidRPr="002B67A3">
              <w:rPr>
                <w:rFonts w:ascii="Segoe UI" w:hAnsi="Segoe UI" w:cs="Segoe UI"/>
                <w:sz w:val="20"/>
                <w:szCs w:val="20"/>
              </w:rPr>
              <w:t xml:space="preserve"> (Dz. Urz. Woj. Zachodniopomorskiego poz. 2687), nieruchomość znajduje się na terenie elementarnym oznaczonym symbolem </w:t>
            </w:r>
            <w:r w:rsidRPr="002B67A3">
              <w:rPr>
                <w:rFonts w:ascii="Segoe UI" w:hAnsi="Segoe UI" w:cs="Segoe UI"/>
                <w:b/>
                <w:sz w:val="20"/>
                <w:szCs w:val="20"/>
              </w:rPr>
              <w:t>11MN, przeznaczonym pod zabudowę mieszkaniową jednorodzinną.</w:t>
            </w:r>
          </w:p>
          <w:p w:rsidR="006E5146" w:rsidRPr="00BF5AFF" w:rsidRDefault="00FF3EAB" w:rsidP="00BF5AFF">
            <w:pPr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 xml:space="preserve">Zgodnie z celem określonym w planie miejscowym.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</w:tcBorders>
            <w:vAlign w:val="center"/>
          </w:tcPr>
          <w:p w:rsidR="006E5146" w:rsidRPr="007A46DB" w:rsidRDefault="00FF3EAB" w:rsidP="00BF5AFF">
            <w:pPr>
              <w:tabs>
                <w:tab w:val="right" w:pos="1529"/>
              </w:tabs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7A46DB">
              <w:rPr>
                <w:rFonts w:ascii="Segoe UI" w:hAnsi="Segoe UI" w:cs="Segoe UI"/>
                <w:b/>
                <w:bCs/>
                <w:sz w:val="20"/>
                <w:szCs w:val="20"/>
              </w:rPr>
              <w:t>5</w:t>
            </w:r>
            <w:r w:rsidR="006E5146" w:rsidRPr="007A46DB">
              <w:rPr>
                <w:rFonts w:ascii="Segoe UI" w:hAnsi="Segoe UI" w:cs="Segoe UI"/>
                <w:b/>
                <w:bCs/>
                <w:sz w:val="20"/>
                <w:szCs w:val="20"/>
              </w:rPr>
              <w:t>00 000,00</w:t>
            </w:r>
          </w:p>
          <w:p w:rsidR="006E5146" w:rsidRPr="00BF5AFF" w:rsidRDefault="006E5146" w:rsidP="00BF5AFF">
            <w:pPr>
              <w:tabs>
                <w:tab w:val="right" w:pos="1529"/>
              </w:tabs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6E5146" w:rsidRPr="00BF5AFF" w:rsidRDefault="006E5146" w:rsidP="00BF5AFF">
            <w:pPr>
              <w:tabs>
                <w:tab w:val="right" w:pos="1529"/>
              </w:tabs>
              <w:rPr>
                <w:rFonts w:ascii="Segoe UI" w:hAnsi="Segoe UI" w:cs="Segoe UI"/>
                <w:bCs/>
                <w:sz w:val="18"/>
                <w:szCs w:val="18"/>
              </w:rPr>
            </w:pPr>
            <w:r w:rsidRPr="00BF5AFF">
              <w:rPr>
                <w:rFonts w:ascii="Segoe UI" w:hAnsi="Segoe UI" w:cs="Segoe UI"/>
                <w:bCs/>
                <w:sz w:val="18"/>
                <w:szCs w:val="18"/>
              </w:rPr>
              <w:t xml:space="preserve">słownie złotych: </w:t>
            </w:r>
          </w:p>
          <w:p w:rsidR="006E5146" w:rsidRPr="00BF5AFF" w:rsidRDefault="00FF3EAB" w:rsidP="00BF5AFF">
            <w:pPr>
              <w:tabs>
                <w:tab w:val="right" w:pos="1529"/>
              </w:tabs>
              <w:rPr>
                <w:rFonts w:ascii="Segoe UI" w:hAnsi="Segoe UI" w:cs="Segoe UI"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sz w:val="18"/>
                <w:szCs w:val="18"/>
              </w:rPr>
              <w:t xml:space="preserve">pięćset </w:t>
            </w:r>
            <w:r w:rsidR="006E5146" w:rsidRPr="00BF5AFF">
              <w:rPr>
                <w:rFonts w:ascii="Segoe UI" w:hAnsi="Segoe UI" w:cs="Segoe UI"/>
                <w:bCs/>
                <w:sz w:val="18"/>
                <w:szCs w:val="18"/>
              </w:rPr>
              <w:t xml:space="preserve"> tysięcy 00/100 </w:t>
            </w:r>
          </w:p>
          <w:p w:rsidR="006E5146" w:rsidRPr="00BF5AFF" w:rsidRDefault="006E5146" w:rsidP="00BF5AFF">
            <w:pPr>
              <w:tabs>
                <w:tab w:val="left" w:pos="510"/>
                <w:tab w:val="right" w:pos="1529"/>
              </w:tabs>
              <w:ind w:left="108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</w:tcBorders>
          </w:tcPr>
          <w:p w:rsidR="006E5146" w:rsidRDefault="006E5146" w:rsidP="00BF5AFF">
            <w:pPr>
              <w:pBdr>
                <w:bottom w:val="single" w:sz="6" w:space="1" w:color="auto"/>
              </w:pBdr>
              <w:rPr>
                <w:rFonts w:ascii="Segoe UI" w:hAnsi="Segoe UI" w:cs="Segoe UI"/>
                <w:sz w:val="20"/>
                <w:szCs w:val="20"/>
              </w:rPr>
            </w:pPr>
          </w:p>
          <w:p w:rsidR="006E5146" w:rsidRPr="007A46DB" w:rsidRDefault="00FF3EAB" w:rsidP="00001666">
            <w:pPr>
              <w:pBdr>
                <w:bottom w:val="single" w:sz="6" w:space="1" w:color="auto"/>
              </w:pBd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7A46DB">
              <w:rPr>
                <w:rFonts w:ascii="Segoe UI" w:hAnsi="Segoe UI" w:cs="Segoe UI"/>
                <w:b/>
                <w:sz w:val="20"/>
                <w:szCs w:val="20"/>
              </w:rPr>
              <w:t>5</w:t>
            </w:r>
            <w:r w:rsidR="006E5146" w:rsidRPr="007A46DB">
              <w:rPr>
                <w:rFonts w:ascii="Segoe UI" w:hAnsi="Segoe UI" w:cs="Segoe UI"/>
                <w:b/>
                <w:sz w:val="20"/>
                <w:szCs w:val="20"/>
              </w:rPr>
              <w:t>0 000,00</w:t>
            </w:r>
          </w:p>
          <w:p w:rsidR="006E5146" w:rsidRDefault="006E5146" w:rsidP="00BF5AFF">
            <w:pPr>
              <w:tabs>
                <w:tab w:val="right" w:pos="1529"/>
              </w:tabs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6E5146" w:rsidRPr="00BF5AFF" w:rsidRDefault="006E5146" w:rsidP="00BF5AFF">
            <w:pPr>
              <w:tabs>
                <w:tab w:val="right" w:pos="1529"/>
              </w:tabs>
              <w:rPr>
                <w:rFonts w:ascii="Segoe UI" w:hAnsi="Segoe UI" w:cs="Segoe UI"/>
                <w:bCs/>
                <w:sz w:val="18"/>
                <w:szCs w:val="18"/>
              </w:rPr>
            </w:pPr>
            <w:r w:rsidRPr="00BF5AFF">
              <w:rPr>
                <w:rFonts w:ascii="Segoe UI" w:hAnsi="Segoe UI" w:cs="Segoe UI"/>
                <w:bCs/>
                <w:sz w:val="18"/>
                <w:szCs w:val="18"/>
              </w:rPr>
              <w:t xml:space="preserve">słownie złotych: </w:t>
            </w:r>
          </w:p>
          <w:p w:rsidR="006E5146" w:rsidRPr="00BF5AFF" w:rsidRDefault="00FF3EAB" w:rsidP="00BF5AFF">
            <w:pPr>
              <w:tabs>
                <w:tab w:val="right" w:pos="1529"/>
              </w:tabs>
              <w:rPr>
                <w:rFonts w:ascii="Segoe UI" w:hAnsi="Segoe UI" w:cs="Segoe UI"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sz w:val="18"/>
                <w:szCs w:val="18"/>
              </w:rPr>
              <w:t xml:space="preserve">pięćdziesiąt </w:t>
            </w:r>
            <w:r w:rsidR="006E5146" w:rsidRPr="00BF5AFF">
              <w:rPr>
                <w:rFonts w:ascii="Segoe UI" w:hAnsi="Segoe UI" w:cs="Segoe UI"/>
                <w:bCs/>
                <w:sz w:val="18"/>
                <w:szCs w:val="18"/>
              </w:rPr>
              <w:t xml:space="preserve">tysięcy 00/100 </w:t>
            </w:r>
          </w:p>
          <w:p w:rsidR="006E5146" w:rsidRPr="00DB1369" w:rsidRDefault="006E5146" w:rsidP="00001666">
            <w:pPr>
              <w:pBdr>
                <w:bottom w:val="single" w:sz="6" w:space="1" w:color="auto"/>
              </w:pBd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6E5146" w:rsidRPr="00BF5AFF" w:rsidRDefault="006E5146" w:rsidP="00BF5AFF">
            <w:pPr>
              <w:tabs>
                <w:tab w:val="right" w:pos="1529"/>
              </w:tabs>
              <w:rPr>
                <w:rFonts w:ascii="Segoe UI" w:hAnsi="Segoe UI" w:cs="Segoe UI"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 </w:t>
            </w:r>
            <w:r w:rsidR="00FF3EAB" w:rsidRPr="007A46DB">
              <w:rPr>
                <w:rFonts w:ascii="Segoe UI" w:hAnsi="Segoe UI" w:cs="Segoe UI"/>
                <w:b/>
                <w:sz w:val="20"/>
                <w:szCs w:val="20"/>
              </w:rPr>
              <w:t>5</w:t>
            </w:r>
            <w:r w:rsidRPr="007A46DB">
              <w:rPr>
                <w:rFonts w:ascii="Segoe UI" w:hAnsi="Segoe UI" w:cs="Segoe UI"/>
                <w:b/>
                <w:sz w:val="20"/>
                <w:szCs w:val="20"/>
              </w:rPr>
              <w:t xml:space="preserve"> 000,00</w:t>
            </w:r>
            <w:r w:rsidRPr="00BF5AFF">
              <w:rPr>
                <w:rFonts w:ascii="Segoe UI" w:hAnsi="Segoe UI" w:cs="Segoe UI"/>
                <w:bCs/>
                <w:sz w:val="18"/>
                <w:szCs w:val="18"/>
              </w:rPr>
              <w:t xml:space="preserve"> słownie złotych: </w:t>
            </w:r>
            <w:r w:rsidR="00FF3EAB">
              <w:rPr>
                <w:rFonts w:ascii="Segoe UI" w:hAnsi="Segoe UI" w:cs="Segoe UI"/>
                <w:bCs/>
                <w:sz w:val="18"/>
                <w:szCs w:val="18"/>
              </w:rPr>
              <w:t xml:space="preserve">pięć </w:t>
            </w:r>
            <w:r w:rsidRPr="00BF5AFF">
              <w:rPr>
                <w:rFonts w:ascii="Segoe UI" w:hAnsi="Segoe UI" w:cs="Segoe UI"/>
                <w:bCs/>
                <w:sz w:val="18"/>
                <w:szCs w:val="18"/>
              </w:rPr>
              <w:t xml:space="preserve"> tysięcy 00/100 </w:t>
            </w:r>
          </w:p>
          <w:p w:rsidR="006E5146" w:rsidRDefault="006E5146" w:rsidP="00001666">
            <w:pPr>
              <w:tabs>
                <w:tab w:val="right" w:pos="1529"/>
              </w:tabs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6E5146" w:rsidRPr="00DB1369" w:rsidTr="00FF3EAB">
        <w:trPr>
          <w:trHeight w:val="448"/>
          <w:jc w:val="center"/>
        </w:trPr>
        <w:tc>
          <w:tcPr>
            <w:tcW w:w="1268" w:type="dxa"/>
            <w:vMerge/>
            <w:tcBorders>
              <w:bottom w:val="single" w:sz="6" w:space="0" w:color="auto"/>
            </w:tcBorders>
            <w:vAlign w:val="center"/>
          </w:tcPr>
          <w:p w:rsidR="006E5146" w:rsidRDefault="006E5146" w:rsidP="00BF5AF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6" w:space="0" w:color="auto"/>
            </w:tcBorders>
            <w:vAlign w:val="center"/>
          </w:tcPr>
          <w:p w:rsidR="006E5146" w:rsidRPr="00DB1369" w:rsidRDefault="006E5146" w:rsidP="00BF5AF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6" w:space="0" w:color="auto"/>
            </w:tcBorders>
            <w:vAlign w:val="center"/>
          </w:tcPr>
          <w:p w:rsidR="006E5146" w:rsidRDefault="006E5146" w:rsidP="0015507A">
            <w:pPr>
              <w:pBdr>
                <w:bottom w:val="single" w:sz="6" w:space="1" w:color="auto"/>
              </w:pBd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6" w:space="0" w:color="auto"/>
            </w:tcBorders>
            <w:vAlign w:val="center"/>
          </w:tcPr>
          <w:p w:rsidR="006E5146" w:rsidRDefault="006E5146" w:rsidP="0015507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6" w:space="0" w:color="auto"/>
            </w:tcBorders>
            <w:vAlign w:val="center"/>
          </w:tcPr>
          <w:p w:rsidR="006E5146" w:rsidRDefault="006E5146" w:rsidP="0015507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5146" w:rsidRPr="00B858BF" w:rsidRDefault="006E5146" w:rsidP="00BF5AFF">
            <w:pPr>
              <w:jc w:val="both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>Nie dotyczy</w:t>
            </w:r>
          </w:p>
        </w:tc>
        <w:tc>
          <w:tcPr>
            <w:tcW w:w="1559" w:type="dxa"/>
            <w:vMerge/>
            <w:tcBorders>
              <w:bottom w:val="single" w:sz="6" w:space="0" w:color="auto"/>
            </w:tcBorders>
            <w:vAlign w:val="center"/>
          </w:tcPr>
          <w:p w:rsidR="006E5146" w:rsidRPr="00BF5AFF" w:rsidRDefault="006E5146" w:rsidP="00BF5AFF">
            <w:pPr>
              <w:tabs>
                <w:tab w:val="right" w:pos="1529"/>
              </w:tabs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6" w:space="0" w:color="auto"/>
            </w:tcBorders>
          </w:tcPr>
          <w:p w:rsidR="006E5146" w:rsidRDefault="006E5146" w:rsidP="00BF5AFF">
            <w:pPr>
              <w:pBdr>
                <w:bottom w:val="single" w:sz="6" w:space="1" w:color="auto"/>
              </w:pBd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871A2B" w:rsidRDefault="00871A2B" w:rsidP="00F5551A">
      <w:pPr>
        <w:pStyle w:val="Tekstpodstawowy2"/>
        <w:tabs>
          <w:tab w:val="clear" w:pos="13860"/>
        </w:tabs>
        <w:spacing w:before="120"/>
        <w:ind w:right="-30"/>
        <w:rPr>
          <w:rFonts w:ascii="Segoe UI" w:hAnsi="Segoe UI" w:cs="Segoe UI"/>
          <w:szCs w:val="20"/>
        </w:rPr>
      </w:pPr>
      <w:r w:rsidRPr="00F5551A">
        <w:rPr>
          <w:rFonts w:ascii="Segoe UI" w:hAnsi="Segoe UI" w:cs="Segoe UI"/>
          <w:szCs w:val="20"/>
        </w:rPr>
        <w:t xml:space="preserve">Zgodnie z </w:t>
      </w:r>
      <w:r w:rsidR="00B60320">
        <w:rPr>
          <w:rFonts w:ascii="Segoe UI" w:hAnsi="Segoe UI" w:cs="Segoe UI"/>
          <w:szCs w:val="20"/>
        </w:rPr>
        <w:t xml:space="preserve">obecnie obowiązującym </w:t>
      </w:r>
      <w:r w:rsidRPr="00F5551A">
        <w:rPr>
          <w:rFonts w:ascii="Segoe UI" w:hAnsi="Segoe UI" w:cs="Segoe UI"/>
          <w:szCs w:val="20"/>
        </w:rPr>
        <w:t xml:space="preserve">art. 43 ust. 1 pkt 10 ustawy z dnia 11 marca 2004 r. o podatku od towarów i usług </w:t>
      </w:r>
      <w:r w:rsidR="00B60320">
        <w:rPr>
          <w:rFonts w:ascii="Segoe UI" w:hAnsi="Segoe UI" w:cs="Segoe UI"/>
          <w:szCs w:val="20"/>
        </w:rPr>
        <w:t xml:space="preserve">( </w:t>
      </w:r>
      <w:r w:rsidR="005A2460">
        <w:rPr>
          <w:rFonts w:ascii="Segoe UI" w:hAnsi="Segoe UI" w:cs="Segoe UI"/>
          <w:szCs w:val="20"/>
        </w:rPr>
        <w:t>Dz</w:t>
      </w:r>
      <w:r w:rsidR="003E6658">
        <w:rPr>
          <w:rFonts w:ascii="Segoe UI" w:hAnsi="Segoe UI" w:cs="Segoe UI"/>
          <w:szCs w:val="20"/>
        </w:rPr>
        <w:t>. U. z 2021 r., poz. 685</w:t>
      </w:r>
      <w:r w:rsidR="00B60320">
        <w:rPr>
          <w:rFonts w:ascii="Segoe UI" w:hAnsi="Segoe UI" w:cs="Segoe UI"/>
          <w:szCs w:val="20"/>
        </w:rPr>
        <w:t xml:space="preserve"> z </w:t>
      </w:r>
      <w:proofErr w:type="spellStart"/>
      <w:r w:rsidR="00B60320">
        <w:rPr>
          <w:rFonts w:ascii="Segoe UI" w:hAnsi="Segoe UI" w:cs="Segoe UI"/>
          <w:szCs w:val="20"/>
        </w:rPr>
        <w:t>późn</w:t>
      </w:r>
      <w:proofErr w:type="spellEnd"/>
      <w:r w:rsidR="00B60320">
        <w:rPr>
          <w:rFonts w:ascii="Segoe UI" w:hAnsi="Segoe UI" w:cs="Segoe UI"/>
          <w:szCs w:val="20"/>
        </w:rPr>
        <w:t xml:space="preserve">. zm. ) </w:t>
      </w:r>
      <w:r w:rsidRPr="00F5551A">
        <w:rPr>
          <w:rFonts w:ascii="Segoe UI" w:hAnsi="Segoe UI" w:cs="Segoe UI"/>
          <w:szCs w:val="20"/>
        </w:rPr>
        <w:t xml:space="preserve">sprzedaż </w:t>
      </w:r>
      <w:r w:rsidR="00B60320">
        <w:rPr>
          <w:rFonts w:ascii="Segoe UI" w:hAnsi="Segoe UI" w:cs="Segoe UI"/>
          <w:szCs w:val="20"/>
        </w:rPr>
        <w:t xml:space="preserve">przedmiotowej </w:t>
      </w:r>
      <w:r w:rsidRPr="00F5551A">
        <w:rPr>
          <w:rFonts w:ascii="Segoe UI" w:hAnsi="Segoe UI" w:cs="Segoe UI"/>
          <w:szCs w:val="20"/>
        </w:rPr>
        <w:t>nieruchomości podlega zwolnieniu od podatku VAT.</w:t>
      </w:r>
      <w:r w:rsidR="00E54810" w:rsidRPr="00F5551A">
        <w:rPr>
          <w:rFonts w:ascii="Segoe UI" w:hAnsi="Segoe UI" w:cs="Segoe UI"/>
          <w:szCs w:val="20"/>
        </w:rPr>
        <w:t xml:space="preserve"> </w:t>
      </w:r>
      <w:r w:rsidR="005A2460" w:rsidRPr="007614B7">
        <w:rPr>
          <w:rFonts w:ascii="Segoe UI" w:hAnsi="Segoe UI" w:cs="Segoe UI"/>
          <w:szCs w:val="20"/>
        </w:rPr>
        <w:t>Przy sprzedaży nieruchomości będą miały zastosowanie przepisy ustawy o podatku od towarów i usług obowiąz</w:t>
      </w:r>
      <w:r w:rsidR="005A2460">
        <w:rPr>
          <w:rFonts w:ascii="Segoe UI" w:hAnsi="Segoe UI" w:cs="Segoe UI"/>
          <w:szCs w:val="20"/>
        </w:rPr>
        <w:t>ujące w dniu zawierania umowy.</w:t>
      </w:r>
    </w:p>
    <w:p w:rsidR="00BF5AFF" w:rsidRDefault="00BF5AFF" w:rsidP="00BF5AFF">
      <w:pPr>
        <w:pStyle w:val="Tekstpodstawowy"/>
        <w:tabs>
          <w:tab w:val="clear" w:pos="13860"/>
        </w:tabs>
        <w:spacing w:before="120"/>
        <w:ind w:right="0"/>
        <w:rPr>
          <w:rFonts w:ascii="Segoe UI" w:hAnsi="Segoe UI" w:cs="Segoe UI"/>
          <w:b w:val="0"/>
          <w:bCs w:val="0"/>
          <w:szCs w:val="20"/>
        </w:rPr>
      </w:pPr>
      <w:r w:rsidRPr="00F5551A">
        <w:rPr>
          <w:rFonts w:ascii="Segoe UI" w:hAnsi="Segoe UI" w:cs="Segoe UI"/>
          <w:b w:val="0"/>
          <w:bCs w:val="0"/>
          <w:szCs w:val="20"/>
        </w:rPr>
        <w:t xml:space="preserve">Cena nieruchomości </w:t>
      </w:r>
      <w:r>
        <w:rPr>
          <w:rFonts w:ascii="Segoe UI" w:hAnsi="Segoe UI" w:cs="Segoe UI"/>
          <w:b w:val="0"/>
          <w:bCs w:val="0"/>
          <w:szCs w:val="20"/>
        </w:rPr>
        <w:t>osiągnięta w przetargu</w:t>
      </w:r>
      <w:r w:rsidRPr="00F5551A">
        <w:rPr>
          <w:rFonts w:ascii="Segoe UI" w:hAnsi="Segoe UI" w:cs="Segoe UI"/>
          <w:b w:val="0"/>
          <w:bCs w:val="0"/>
          <w:szCs w:val="20"/>
        </w:rPr>
        <w:t xml:space="preserve"> płatna jest w całości przed </w:t>
      </w:r>
      <w:r>
        <w:rPr>
          <w:rFonts w:ascii="Segoe UI" w:hAnsi="Segoe UI" w:cs="Segoe UI"/>
          <w:b w:val="0"/>
          <w:bCs w:val="0"/>
          <w:szCs w:val="20"/>
        </w:rPr>
        <w:t>zawarciem</w:t>
      </w:r>
      <w:r w:rsidRPr="00F5551A">
        <w:rPr>
          <w:rFonts w:ascii="Segoe UI" w:hAnsi="Segoe UI" w:cs="Segoe UI"/>
          <w:b w:val="0"/>
          <w:bCs w:val="0"/>
          <w:szCs w:val="20"/>
        </w:rPr>
        <w:t xml:space="preserve"> umowy </w:t>
      </w:r>
      <w:r>
        <w:rPr>
          <w:rFonts w:ascii="Segoe UI" w:hAnsi="Segoe UI" w:cs="Segoe UI"/>
          <w:b w:val="0"/>
          <w:bCs w:val="0"/>
          <w:szCs w:val="20"/>
        </w:rPr>
        <w:t>sprzedaży.</w:t>
      </w:r>
    </w:p>
    <w:p w:rsidR="007A46DB" w:rsidRPr="00F5551A" w:rsidRDefault="007A46DB" w:rsidP="00BF5AFF">
      <w:pPr>
        <w:pStyle w:val="Tekstpodstawowy"/>
        <w:tabs>
          <w:tab w:val="clear" w:pos="13860"/>
        </w:tabs>
        <w:spacing w:before="120"/>
        <w:ind w:right="0"/>
        <w:rPr>
          <w:rFonts w:ascii="Segoe UI" w:hAnsi="Segoe UI" w:cs="Segoe UI"/>
          <w:b w:val="0"/>
          <w:bCs w:val="0"/>
          <w:szCs w:val="20"/>
        </w:rPr>
      </w:pPr>
    </w:p>
    <w:p w:rsidR="007A46DB" w:rsidRDefault="007A46DB" w:rsidP="007A46DB">
      <w:pPr>
        <w:pStyle w:val="tresc"/>
        <w:spacing w:before="0" w:beforeAutospacing="0" w:after="0" w:afterAutospacing="0"/>
        <w:jc w:val="both"/>
        <w:rPr>
          <w:rFonts w:ascii="Segoe UI" w:hAnsi="Segoe UI" w:cs="Segoe UI"/>
          <w:sz w:val="20"/>
          <w:szCs w:val="20"/>
        </w:rPr>
      </w:pPr>
    </w:p>
    <w:p w:rsidR="007A46DB" w:rsidRPr="003E6658" w:rsidRDefault="007A46DB" w:rsidP="007A46DB">
      <w:pPr>
        <w:pStyle w:val="tresc"/>
        <w:spacing w:before="0" w:beforeAutospacing="0" w:after="0" w:afterAutospacing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lastRenderedPageBreak/>
        <w:t>Skarb Państwa objął n</w:t>
      </w:r>
      <w:r w:rsidRPr="00B454F2">
        <w:rPr>
          <w:rFonts w:ascii="Segoe UI" w:hAnsi="Segoe UI" w:cs="Segoe UI"/>
          <w:sz w:val="20"/>
          <w:szCs w:val="20"/>
        </w:rPr>
        <w:t xml:space="preserve">ieruchomość </w:t>
      </w:r>
      <w:r>
        <w:rPr>
          <w:rFonts w:ascii="Segoe UI" w:hAnsi="Segoe UI" w:cs="Segoe UI"/>
          <w:sz w:val="20"/>
          <w:szCs w:val="20"/>
        </w:rPr>
        <w:t>w posiadanie w</w:t>
      </w:r>
      <w:r w:rsidRPr="00B454F2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marcu</w:t>
      </w:r>
      <w:r w:rsidRPr="00B454F2">
        <w:rPr>
          <w:rFonts w:ascii="Segoe UI" w:hAnsi="Segoe UI" w:cs="Segoe UI"/>
          <w:sz w:val="20"/>
          <w:szCs w:val="20"/>
        </w:rPr>
        <w:t xml:space="preserve"> 2018 r. </w:t>
      </w:r>
      <w:r>
        <w:rPr>
          <w:rFonts w:ascii="Segoe UI" w:hAnsi="Segoe UI" w:cs="Segoe UI"/>
          <w:sz w:val="20"/>
          <w:szCs w:val="20"/>
        </w:rPr>
        <w:t xml:space="preserve"> Ustalono, iż budynki były nieużytkowane od kwietnia 2016 r. i zostały w tym czasie  zdewastowane - są ślady włamań oraz obecności osób bezdomnych. Zniszczone zostało wyposażenie domu oraz </w:t>
      </w:r>
      <w:r>
        <w:rPr>
          <w:rFonts w:ascii="Segoe UI" w:hAnsi="Segoe UI" w:cs="Segoe UI"/>
          <w:sz w:val="20"/>
        </w:rPr>
        <w:t xml:space="preserve">drzwi wejściowe. Budynek nie był ogrzewany, brak wody oraz prądu. </w:t>
      </w:r>
      <w:r>
        <w:rPr>
          <w:rFonts w:ascii="Segoe UI" w:hAnsi="Segoe UI" w:cs="Segoe UI"/>
          <w:sz w:val="20"/>
          <w:szCs w:val="20"/>
        </w:rPr>
        <w:t>Budynek mieszkalny został zabezpieczony przed dostępem osób trzecich ( m.in. zamurowano wejście przez ganek, w środku zamontowano dodatkowe płyty i blokady ciągów komunikacyjnych ).</w:t>
      </w:r>
      <w:r w:rsidR="003E6658">
        <w:rPr>
          <w:rFonts w:ascii="Segoe UI" w:hAnsi="Segoe UI" w:cs="Segoe UI"/>
          <w:sz w:val="20"/>
          <w:szCs w:val="20"/>
        </w:rPr>
        <w:t xml:space="preserve"> </w:t>
      </w:r>
      <w:r w:rsidRPr="00D07D26">
        <w:rPr>
          <w:rFonts w:ascii="Segoe UI" w:hAnsi="Segoe UI" w:cs="Segoe UI"/>
          <w:sz w:val="20"/>
          <w:szCs w:val="20"/>
          <w:shd w:val="clear" w:color="auto" w:fill="FFFFFF"/>
        </w:rPr>
        <w:t xml:space="preserve">Nieruchomość ogrodzona. </w:t>
      </w: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 </w:t>
      </w:r>
    </w:p>
    <w:p w:rsidR="007A46DB" w:rsidRDefault="007A46DB" w:rsidP="00BF5AFF">
      <w:pPr>
        <w:jc w:val="both"/>
        <w:rPr>
          <w:rFonts w:ascii="Segoe UI" w:hAnsi="Segoe UI" w:cs="Segoe UI"/>
          <w:b/>
          <w:iCs/>
          <w:sz w:val="20"/>
          <w:szCs w:val="20"/>
        </w:rPr>
      </w:pPr>
    </w:p>
    <w:p w:rsidR="0079281C" w:rsidRPr="00BF5AFF" w:rsidRDefault="0079281C" w:rsidP="00BF5AFF">
      <w:pPr>
        <w:jc w:val="both"/>
        <w:rPr>
          <w:rFonts w:ascii="Segoe UI" w:hAnsi="Segoe UI" w:cs="Segoe UI"/>
          <w:sz w:val="20"/>
          <w:szCs w:val="20"/>
        </w:rPr>
      </w:pPr>
      <w:r w:rsidRPr="00F5551A">
        <w:rPr>
          <w:rFonts w:ascii="Segoe UI" w:hAnsi="Segoe UI" w:cs="Segoe UI"/>
          <w:b/>
          <w:iCs/>
          <w:sz w:val="20"/>
          <w:szCs w:val="20"/>
        </w:rPr>
        <w:t>Przetarg z</w:t>
      </w:r>
      <w:r w:rsidR="00B60320">
        <w:rPr>
          <w:rFonts w:ascii="Segoe UI" w:hAnsi="Segoe UI" w:cs="Segoe UI"/>
          <w:b/>
          <w:iCs/>
          <w:sz w:val="20"/>
          <w:szCs w:val="20"/>
        </w:rPr>
        <w:t>ostanie przeprowadzony</w:t>
      </w:r>
      <w:r w:rsidR="00BF5AFF" w:rsidRPr="00BF5AFF">
        <w:rPr>
          <w:rFonts w:ascii="Segoe UI" w:hAnsi="Segoe UI" w:cs="Segoe UI"/>
          <w:sz w:val="20"/>
          <w:szCs w:val="20"/>
        </w:rPr>
        <w:t xml:space="preserve"> </w:t>
      </w:r>
      <w:r w:rsidR="00FF3EAB">
        <w:rPr>
          <w:rFonts w:ascii="Segoe UI" w:hAnsi="Segoe UI" w:cs="Segoe UI"/>
          <w:b/>
          <w:iCs/>
          <w:sz w:val="20"/>
          <w:szCs w:val="20"/>
        </w:rPr>
        <w:t>w dniu 4</w:t>
      </w:r>
      <w:r w:rsidRPr="00F5551A">
        <w:rPr>
          <w:rFonts w:ascii="Segoe UI" w:hAnsi="Segoe UI" w:cs="Segoe UI"/>
          <w:b/>
          <w:iCs/>
          <w:sz w:val="20"/>
          <w:szCs w:val="20"/>
        </w:rPr>
        <w:t xml:space="preserve"> </w:t>
      </w:r>
      <w:r w:rsidR="00FF3EAB">
        <w:rPr>
          <w:rFonts w:ascii="Segoe UI" w:hAnsi="Segoe UI" w:cs="Segoe UI"/>
          <w:b/>
          <w:iCs/>
          <w:sz w:val="20"/>
          <w:szCs w:val="20"/>
        </w:rPr>
        <w:t>października</w:t>
      </w:r>
      <w:r w:rsidRPr="00F5551A">
        <w:rPr>
          <w:rFonts w:ascii="Segoe UI" w:hAnsi="Segoe UI" w:cs="Segoe UI"/>
          <w:b/>
          <w:iCs/>
          <w:sz w:val="20"/>
          <w:szCs w:val="20"/>
        </w:rPr>
        <w:t xml:space="preserve"> 20</w:t>
      </w:r>
      <w:r w:rsidR="00FF3EAB">
        <w:rPr>
          <w:rFonts w:ascii="Segoe UI" w:hAnsi="Segoe UI" w:cs="Segoe UI"/>
          <w:b/>
          <w:iCs/>
          <w:sz w:val="20"/>
          <w:szCs w:val="20"/>
        </w:rPr>
        <w:t>22 r. o godzinie 11</w:t>
      </w:r>
      <w:r w:rsidRPr="00F5551A">
        <w:rPr>
          <w:rFonts w:ascii="Segoe UI" w:hAnsi="Segoe UI" w:cs="Segoe UI"/>
          <w:b/>
          <w:iCs/>
          <w:sz w:val="20"/>
          <w:szCs w:val="20"/>
        </w:rPr>
        <w:t xml:space="preserve">:00, w siedzibie Urzędu Miejskiego w Koszalinie, </w:t>
      </w:r>
      <w:r w:rsidR="005A2460">
        <w:rPr>
          <w:rFonts w:ascii="Segoe UI" w:hAnsi="Segoe UI" w:cs="Segoe UI"/>
          <w:b/>
          <w:iCs/>
          <w:sz w:val="20"/>
          <w:szCs w:val="20"/>
        </w:rPr>
        <w:t xml:space="preserve">ul. </w:t>
      </w:r>
      <w:r w:rsidRPr="00F5551A">
        <w:rPr>
          <w:rFonts w:ascii="Segoe UI" w:hAnsi="Segoe UI" w:cs="Segoe UI"/>
          <w:b/>
          <w:iCs/>
          <w:sz w:val="20"/>
          <w:szCs w:val="20"/>
        </w:rPr>
        <w:t xml:space="preserve">Rynek Staromiejski 6-7, </w:t>
      </w:r>
      <w:r w:rsidR="005A2460">
        <w:rPr>
          <w:rFonts w:ascii="Segoe UI" w:hAnsi="Segoe UI" w:cs="Segoe UI"/>
          <w:b/>
          <w:iCs/>
          <w:sz w:val="20"/>
          <w:szCs w:val="20"/>
        </w:rPr>
        <w:t xml:space="preserve"> </w:t>
      </w:r>
      <w:r w:rsidRPr="00F5551A">
        <w:rPr>
          <w:rFonts w:ascii="Segoe UI" w:hAnsi="Segoe UI" w:cs="Segoe UI"/>
          <w:b/>
          <w:iCs/>
          <w:sz w:val="20"/>
          <w:szCs w:val="20"/>
        </w:rPr>
        <w:t>sala</w:t>
      </w:r>
      <w:r w:rsidR="00F57BFE">
        <w:rPr>
          <w:rFonts w:ascii="Segoe UI" w:hAnsi="Segoe UI" w:cs="Segoe UI"/>
          <w:b/>
          <w:iCs/>
          <w:sz w:val="20"/>
          <w:szCs w:val="20"/>
        </w:rPr>
        <w:t xml:space="preserve"> nr</w:t>
      </w:r>
      <w:r w:rsidRPr="00F5551A">
        <w:rPr>
          <w:rFonts w:ascii="Segoe UI" w:hAnsi="Segoe UI" w:cs="Segoe UI"/>
          <w:b/>
          <w:iCs/>
          <w:sz w:val="20"/>
          <w:szCs w:val="20"/>
        </w:rPr>
        <w:t> </w:t>
      </w:r>
      <w:r w:rsidR="00B60320">
        <w:rPr>
          <w:rFonts w:ascii="Segoe UI" w:hAnsi="Segoe UI" w:cs="Segoe UI"/>
          <w:b/>
          <w:iCs/>
          <w:sz w:val="20"/>
          <w:szCs w:val="20"/>
        </w:rPr>
        <w:t>300</w:t>
      </w:r>
      <w:r w:rsidR="005A2460">
        <w:rPr>
          <w:rFonts w:ascii="Segoe UI" w:hAnsi="Segoe UI" w:cs="Segoe UI"/>
          <w:b/>
          <w:iCs/>
          <w:sz w:val="20"/>
          <w:szCs w:val="20"/>
        </w:rPr>
        <w:t>, III piętro ( w budynku jest winda)</w:t>
      </w:r>
      <w:r w:rsidR="00B60320">
        <w:rPr>
          <w:rFonts w:ascii="Segoe UI" w:hAnsi="Segoe UI" w:cs="Segoe UI"/>
          <w:b/>
          <w:iCs/>
          <w:sz w:val="20"/>
          <w:szCs w:val="20"/>
        </w:rPr>
        <w:t xml:space="preserve">. </w:t>
      </w:r>
      <w:r w:rsidRPr="00F5551A">
        <w:rPr>
          <w:rFonts w:ascii="Segoe UI" w:hAnsi="Segoe UI" w:cs="Segoe UI"/>
          <w:b/>
          <w:iCs/>
          <w:sz w:val="20"/>
          <w:szCs w:val="20"/>
        </w:rPr>
        <w:t xml:space="preserve"> </w:t>
      </w:r>
    </w:p>
    <w:p w:rsidR="00F5551A" w:rsidRDefault="00BF5AFF" w:rsidP="00F5551A">
      <w:pPr>
        <w:pStyle w:val="Tekstpodstawowy"/>
        <w:tabs>
          <w:tab w:val="clear" w:pos="13860"/>
        </w:tabs>
        <w:spacing w:before="120"/>
        <w:ind w:right="0"/>
        <w:rPr>
          <w:rFonts w:ascii="Segoe UI" w:hAnsi="Segoe UI" w:cs="Segoe UI"/>
          <w:iCs/>
          <w:szCs w:val="20"/>
        </w:rPr>
      </w:pPr>
      <w:r>
        <w:rPr>
          <w:rFonts w:ascii="Segoe UI" w:hAnsi="Segoe UI" w:cs="Segoe UI"/>
          <w:b w:val="0"/>
          <w:iCs/>
          <w:szCs w:val="20"/>
        </w:rPr>
        <w:t>O</w:t>
      </w:r>
      <w:r w:rsidR="009A0810" w:rsidRPr="00F5551A">
        <w:rPr>
          <w:rFonts w:ascii="Segoe UI" w:hAnsi="Segoe UI" w:cs="Segoe UI"/>
          <w:b w:val="0"/>
          <w:iCs/>
          <w:szCs w:val="20"/>
        </w:rPr>
        <w:t xml:space="preserve">sobom </w:t>
      </w:r>
      <w:r>
        <w:rPr>
          <w:rFonts w:ascii="Segoe UI" w:hAnsi="Segoe UI" w:cs="Segoe UI"/>
          <w:b w:val="0"/>
          <w:iCs/>
          <w:szCs w:val="20"/>
        </w:rPr>
        <w:t>z</w:t>
      </w:r>
      <w:r w:rsidRPr="00F5551A">
        <w:rPr>
          <w:rFonts w:ascii="Segoe UI" w:hAnsi="Segoe UI" w:cs="Segoe UI"/>
          <w:b w:val="0"/>
          <w:iCs/>
          <w:szCs w:val="20"/>
        </w:rPr>
        <w:t xml:space="preserve">ainteresowanym </w:t>
      </w:r>
      <w:r w:rsidR="009A0810" w:rsidRPr="00F5551A">
        <w:rPr>
          <w:rFonts w:ascii="Segoe UI" w:hAnsi="Segoe UI" w:cs="Segoe UI"/>
          <w:b w:val="0"/>
          <w:iCs/>
          <w:szCs w:val="20"/>
        </w:rPr>
        <w:t>nieruchomość zostanie</w:t>
      </w:r>
      <w:r w:rsidR="009A0810" w:rsidRPr="00F17F38">
        <w:rPr>
          <w:rFonts w:ascii="Segoe UI" w:hAnsi="Segoe UI" w:cs="Segoe UI"/>
          <w:iCs/>
          <w:szCs w:val="20"/>
        </w:rPr>
        <w:t xml:space="preserve"> udostępniona</w:t>
      </w:r>
      <w:r w:rsidR="009A0810" w:rsidRPr="00F5551A">
        <w:rPr>
          <w:rFonts w:ascii="Segoe UI" w:hAnsi="Segoe UI" w:cs="Segoe UI"/>
          <w:iCs/>
          <w:szCs w:val="20"/>
        </w:rPr>
        <w:t xml:space="preserve"> do oglądania w dniu </w:t>
      </w:r>
      <w:r w:rsidR="00FF3EAB">
        <w:rPr>
          <w:rFonts w:ascii="Segoe UI" w:hAnsi="Segoe UI" w:cs="Segoe UI"/>
          <w:iCs/>
          <w:szCs w:val="20"/>
        </w:rPr>
        <w:t xml:space="preserve"> 5</w:t>
      </w:r>
      <w:r w:rsidR="00CD1183" w:rsidRPr="00F5551A">
        <w:rPr>
          <w:rFonts w:ascii="Segoe UI" w:hAnsi="Segoe UI" w:cs="Segoe UI"/>
          <w:iCs/>
          <w:szCs w:val="20"/>
        </w:rPr>
        <w:t xml:space="preserve"> </w:t>
      </w:r>
      <w:r w:rsidR="00FF3EAB">
        <w:rPr>
          <w:rFonts w:ascii="Segoe UI" w:hAnsi="Segoe UI" w:cs="Segoe UI"/>
          <w:iCs/>
          <w:szCs w:val="20"/>
        </w:rPr>
        <w:t>września 2022</w:t>
      </w:r>
      <w:r w:rsidR="00003BE9">
        <w:rPr>
          <w:rFonts w:ascii="Segoe UI" w:hAnsi="Segoe UI" w:cs="Segoe UI"/>
          <w:iCs/>
          <w:szCs w:val="20"/>
        </w:rPr>
        <w:t xml:space="preserve"> r. w godzinach 16</w:t>
      </w:r>
      <w:r w:rsidR="009A0810" w:rsidRPr="00F5551A">
        <w:rPr>
          <w:rFonts w:ascii="Segoe UI" w:hAnsi="Segoe UI" w:cs="Segoe UI"/>
          <w:iCs/>
          <w:szCs w:val="20"/>
        </w:rPr>
        <w:t>:00</w:t>
      </w:r>
      <w:r w:rsidR="0079281C" w:rsidRPr="00F5551A">
        <w:rPr>
          <w:rFonts w:ascii="Segoe UI" w:hAnsi="Segoe UI" w:cs="Segoe UI"/>
          <w:iCs/>
          <w:szCs w:val="20"/>
        </w:rPr>
        <w:t>-</w:t>
      </w:r>
      <w:r w:rsidR="00003BE9">
        <w:rPr>
          <w:rFonts w:ascii="Segoe UI" w:hAnsi="Segoe UI" w:cs="Segoe UI"/>
          <w:iCs/>
          <w:szCs w:val="20"/>
        </w:rPr>
        <w:t>17</w:t>
      </w:r>
      <w:r w:rsidR="009A0810" w:rsidRPr="00F5551A">
        <w:rPr>
          <w:rFonts w:ascii="Segoe UI" w:hAnsi="Segoe UI" w:cs="Segoe UI"/>
          <w:iCs/>
          <w:szCs w:val="20"/>
        </w:rPr>
        <w:t>:00.</w:t>
      </w:r>
    </w:p>
    <w:p w:rsidR="007A46DB" w:rsidRDefault="007A46DB" w:rsidP="00B60320">
      <w:pPr>
        <w:jc w:val="both"/>
        <w:rPr>
          <w:rFonts w:ascii="Segoe UI" w:hAnsi="Segoe UI" w:cs="Segoe UI"/>
          <w:sz w:val="20"/>
          <w:szCs w:val="20"/>
        </w:rPr>
      </w:pPr>
    </w:p>
    <w:p w:rsidR="00B60320" w:rsidRPr="00B60320" w:rsidRDefault="00B60320" w:rsidP="00B60320">
      <w:pPr>
        <w:jc w:val="both"/>
        <w:rPr>
          <w:rFonts w:ascii="Segoe UI" w:hAnsi="Segoe UI" w:cs="Segoe UI"/>
          <w:sz w:val="20"/>
          <w:szCs w:val="20"/>
        </w:rPr>
      </w:pPr>
      <w:r w:rsidRPr="00B60320">
        <w:rPr>
          <w:rFonts w:ascii="Segoe UI" w:hAnsi="Segoe UI" w:cs="Segoe UI"/>
          <w:sz w:val="20"/>
          <w:szCs w:val="20"/>
        </w:rPr>
        <w:t>Do przetargu mogą przystąpić osoby fizyczne i prawne. Cudzoziemcy na</w:t>
      </w:r>
      <w:r>
        <w:rPr>
          <w:rFonts w:ascii="Segoe UI" w:hAnsi="Segoe UI" w:cs="Segoe UI"/>
          <w:sz w:val="20"/>
          <w:szCs w:val="20"/>
        </w:rPr>
        <w:t xml:space="preserve"> zasadach określonych w ustawie </w:t>
      </w:r>
      <w:r w:rsidRPr="00B60320">
        <w:rPr>
          <w:rFonts w:ascii="Segoe UI" w:hAnsi="Segoe UI" w:cs="Segoe UI"/>
          <w:sz w:val="20"/>
          <w:szCs w:val="20"/>
        </w:rPr>
        <w:t>z dnia 24 marca 1920 r. o nabywaniu nieruchomości przez cudzoziemców (Dz. U. z 2017 r. poz. 2278).</w:t>
      </w:r>
    </w:p>
    <w:p w:rsidR="0079281C" w:rsidRPr="00DB1369" w:rsidRDefault="0079281C" w:rsidP="0079281C">
      <w:pPr>
        <w:spacing w:before="120"/>
        <w:jc w:val="both"/>
        <w:rPr>
          <w:rFonts w:ascii="Segoe UI" w:hAnsi="Segoe UI" w:cs="Segoe UI"/>
          <w:bCs/>
          <w:iCs/>
          <w:sz w:val="20"/>
          <w:szCs w:val="20"/>
        </w:rPr>
      </w:pPr>
      <w:r w:rsidRPr="00DB1369">
        <w:rPr>
          <w:rFonts w:ascii="Segoe UI" w:hAnsi="Segoe UI" w:cs="Segoe UI"/>
          <w:bCs/>
          <w:iCs/>
          <w:sz w:val="20"/>
          <w:szCs w:val="20"/>
        </w:rPr>
        <w:t>Warunkiem przystąpienia do przetargu jest:</w:t>
      </w:r>
    </w:p>
    <w:p w:rsidR="0079281C" w:rsidRPr="00F17F38" w:rsidRDefault="0079281C" w:rsidP="00F17F38">
      <w:pPr>
        <w:ind w:left="340" w:hanging="340"/>
        <w:jc w:val="both"/>
        <w:rPr>
          <w:rFonts w:ascii="Segoe UI" w:hAnsi="Segoe UI" w:cs="Segoe UI"/>
          <w:b/>
          <w:bCs/>
          <w:iCs/>
          <w:sz w:val="20"/>
          <w:szCs w:val="20"/>
        </w:rPr>
      </w:pPr>
      <w:r w:rsidRPr="00DB1369">
        <w:rPr>
          <w:rFonts w:ascii="Segoe UI" w:hAnsi="Segoe UI" w:cs="Segoe UI"/>
          <w:bCs/>
          <w:iCs/>
          <w:sz w:val="20"/>
          <w:szCs w:val="20"/>
        </w:rPr>
        <w:t>–</w:t>
      </w:r>
      <w:r w:rsidRPr="00DB1369">
        <w:rPr>
          <w:rFonts w:ascii="Segoe UI" w:hAnsi="Segoe UI" w:cs="Segoe UI"/>
          <w:bCs/>
          <w:iCs/>
          <w:sz w:val="20"/>
          <w:szCs w:val="20"/>
        </w:rPr>
        <w:tab/>
      </w:r>
      <w:r w:rsidRPr="00DB1369">
        <w:rPr>
          <w:rFonts w:ascii="Segoe UI" w:hAnsi="Segoe UI" w:cs="Segoe UI"/>
          <w:b/>
          <w:iCs/>
          <w:sz w:val="20"/>
          <w:szCs w:val="20"/>
        </w:rPr>
        <w:t>wniesienie wadium</w:t>
      </w:r>
      <w:r w:rsidRPr="00DB1369">
        <w:rPr>
          <w:rFonts w:ascii="Segoe UI" w:hAnsi="Segoe UI" w:cs="Segoe UI"/>
          <w:bCs/>
          <w:iCs/>
          <w:sz w:val="20"/>
          <w:szCs w:val="20"/>
        </w:rPr>
        <w:t xml:space="preserve"> </w:t>
      </w:r>
      <w:r w:rsidRPr="00DB1369">
        <w:rPr>
          <w:rFonts w:ascii="Segoe UI" w:hAnsi="Segoe UI" w:cs="Segoe UI"/>
          <w:b/>
          <w:iCs/>
          <w:sz w:val="20"/>
          <w:szCs w:val="20"/>
        </w:rPr>
        <w:t>z zaznaczeniem a</w:t>
      </w:r>
      <w:r w:rsidR="005A2460">
        <w:rPr>
          <w:rFonts w:ascii="Segoe UI" w:hAnsi="Segoe UI" w:cs="Segoe UI"/>
          <w:b/>
          <w:iCs/>
          <w:sz w:val="20"/>
          <w:szCs w:val="20"/>
        </w:rPr>
        <w:t xml:space="preserve">dresu nieruchomości </w:t>
      </w:r>
      <w:r w:rsidRPr="00DB1369">
        <w:rPr>
          <w:rFonts w:ascii="Segoe UI" w:hAnsi="Segoe UI" w:cs="Segoe UI"/>
          <w:b/>
          <w:iCs/>
          <w:sz w:val="20"/>
          <w:szCs w:val="20"/>
        </w:rPr>
        <w:t xml:space="preserve">najpóźniej do dnia </w:t>
      </w:r>
      <w:r w:rsidR="00FF3EAB">
        <w:rPr>
          <w:rFonts w:ascii="Segoe UI" w:hAnsi="Segoe UI" w:cs="Segoe UI"/>
          <w:b/>
          <w:iCs/>
          <w:sz w:val="20"/>
          <w:szCs w:val="20"/>
        </w:rPr>
        <w:t xml:space="preserve">27 września </w:t>
      </w:r>
      <w:r w:rsidR="00CD1183">
        <w:rPr>
          <w:rFonts w:ascii="Segoe UI" w:hAnsi="Segoe UI" w:cs="Segoe UI"/>
          <w:b/>
          <w:iCs/>
          <w:sz w:val="20"/>
          <w:szCs w:val="20"/>
        </w:rPr>
        <w:t xml:space="preserve"> </w:t>
      </w:r>
      <w:r w:rsidRPr="0079281C">
        <w:rPr>
          <w:rFonts w:ascii="Segoe UI" w:hAnsi="Segoe UI" w:cs="Segoe UI"/>
          <w:b/>
          <w:iCs/>
          <w:sz w:val="20"/>
          <w:szCs w:val="20"/>
        </w:rPr>
        <w:t>20</w:t>
      </w:r>
      <w:r w:rsidR="00FF3EAB">
        <w:rPr>
          <w:rFonts w:ascii="Segoe UI" w:hAnsi="Segoe UI" w:cs="Segoe UI"/>
          <w:b/>
          <w:iCs/>
          <w:sz w:val="20"/>
          <w:szCs w:val="20"/>
        </w:rPr>
        <w:t>22</w:t>
      </w:r>
      <w:r w:rsidRPr="0079281C">
        <w:rPr>
          <w:rFonts w:ascii="Segoe UI" w:hAnsi="Segoe UI" w:cs="Segoe UI"/>
          <w:b/>
          <w:iCs/>
          <w:sz w:val="20"/>
          <w:szCs w:val="20"/>
        </w:rPr>
        <w:t xml:space="preserve"> r.</w:t>
      </w:r>
      <w:r w:rsidRPr="00DB1369">
        <w:rPr>
          <w:rFonts w:ascii="Segoe UI" w:hAnsi="Segoe UI" w:cs="Segoe UI"/>
          <w:b/>
          <w:iCs/>
          <w:sz w:val="20"/>
          <w:szCs w:val="20"/>
        </w:rPr>
        <w:t xml:space="preserve"> włącznie</w:t>
      </w:r>
      <w:r w:rsidRPr="00DB1369">
        <w:rPr>
          <w:rFonts w:ascii="Segoe UI" w:hAnsi="Segoe UI" w:cs="Segoe UI"/>
          <w:bCs/>
          <w:iCs/>
          <w:sz w:val="20"/>
          <w:szCs w:val="20"/>
        </w:rPr>
        <w:t xml:space="preserve">, przelewem bankowym środków pieniężnych lub gotówką na rachunek bankowy Urzędu Miejskiego w Koszalinie </w:t>
      </w:r>
      <w:r w:rsidRPr="00DB1369">
        <w:rPr>
          <w:rFonts w:ascii="Segoe UI" w:hAnsi="Segoe UI" w:cs="Segoe UI"/>
          <w:b/>
          <w:bCs/>
          <w:iCs/>
          <w:sz w:val="20"/>
          <w:szCs w:val="20"/>
        </w:rPr>
        <w:t>mBank S.A. Oddział Korporacy</w:t>
      </w:r>
      <w:r w:rsidR="00F17F38">
        <w:rPr>
          <w:rFonts w:ascii="Segoe UI" w:hAnsi="Segoe UI" w:cs="Segoe UI"/>
          <w:b/>
          <w:bCs/>
          <w:iCs/>
          <w:sz w:val="20"/>
          <w:szCs w:val="20"/>
        </w:rPr>
        <w:t xml:space="preserve">jny w Koszalinie, ul. Okrzei 3  nr </w:t>
      </w:r>
      <w:r w:rsidRPr="00DB1369">
        <w:rPr>
          <w:rFonts w:ascii="Segoe UI" w:hAnsi="Segoe UI" w:cs="Segoe UI"/>
          <w:b/>
          <w:bCs/>
          <w:iCs/>
          <w:sz w:val="20"/>
          <w:szCs w:val="20"/>
        </w:rPr>
        <w:t>78 1140 2118 0000 2444 4400 1304</w:t>
      </w:r>
      <w:r w:rsidRPr="00DB1369">
        <w:rPr>
          <w:rFonts w:ascii="Segoe UI" w:hAnsi="Segoe UI" w:cs="Segoe UI"/>
          <w:bCs/>
          <w:iCs/>
          <w:sz w:val="20"/>
          <w:szCs w:val="20"/>
        </w:rPr>
        <w:t xml:space="preserve">. </w:t>
      </w:r>
      <w:r w:rsidRPr="00DB1369">
        <w:rPr>
          <w:rFonts w:ascii="Segoe UI" w:hAnsi="Segoe UI" w:cs="Segoe UI"/>
          <w:iCs/>
          <w:sz w:val="20"/>
          <w:szCs w:val="20"/>
        </w:rPr>
        <w:t xml:space="preserve">Za datę wniesienia wadium uważa się datę wpływu środków pieniężnych na </w:t>
      </w:r>
      <w:r w:rsidR="00311DC0">
        <w:rPr>
          <w:rFonts w:ascii="Segoe UI" w:hAnsi="Segoe UI" w:cs="Segoe UI"/>
          <w:iCs/>
          <w:sz w:val="20"/>
          <w:szCs w:val="20"/>
        </w:rPr>
        <w:t xml:space="preserve">ww. rachunek. </w:t>
      </w:r>
    </w:p>
    <w:p w:rsidR="0079281C" w:rsidRPr="00DB1369" w:rsidRDefault="0079281C" w:rsidP="0079281C">
      <w:pPr>
        <w:ind w:left="426" w:hanging="426"/>
        <w:jc w:val="both"/>
        <w:rPr>
          <w:rFonts w:ascii="Segoe UI" w:hAnsi="Segoe UI" w:cs="Segoe UI"/>
          <w:b/>
          <w:iCs/>
          <w:sz w:val="20"/>
          <w:szCs w:val="20"/>
        </w:rPr>
      </w:pPr>
      <w:r w:rsidRPr="00DB1369">
        <w:rPr>
          <w:rFonts w:ascii="Segoe UI" w:hAnsi="Segoe UI" w:cs="Segoe UI"/>
          <w:b/>
          <w:iCs/>
          <w:sz w:val="20"/>
          <w:szCs w:val="20"/>
        </w:rPr>
        <w:t>lub</w:t>
      </w:r>
    </w:p>
    <w:p w:rsidR="0079281C" w:rsidRPr="00DB1369" w:rsidRDefault="0079281C" w:rsidP="0079281C">
      <w:pPr>
        <w:ind w:left="340" w:hanging="340"/>
        <w:jc w:val="both"/>
        <w:rPr>
          <w:rFonts w:ascii="Segoe UI" w:hAnsi="Segoe UI" w:cs="Segoe UI"/>
          <w:bCs/>
          <w:iCs/>
          <w:sz w:val="20"/>
          <w:szCs w:val="20"/>
        </w:rPr>
      </w:pPr>
      <w:r w:rsidRPr="00DB1369">
        <w:rPr>
          <w:rFonts w:ascii="Segoe UI" w:hAnsi="Segoe UI" w:cs="Segoe UI"/>
          <w:bCs/>
          <w:iCs/>
          <w:sz w:val="20"/>
          <w:szCs w:val="20"/>
        </w:rPr>
        <w:t>–</w:t>
      </w:r>
      <w:r w:rsidRPr="00DB1369">
        <w:rPr>
          <w:rFonts w:ascii="Segoe UI" w:hAnsi="Segoe UI" w:cs="Segoe UI"/>
          <w:bCs/>
          <w:iCs/>
          <w:sz w:val="20"/>
          <w:szCs w:val="20"/>
        </w:rPr>
        <w:tab/>
      </w:r>
      <w:r w:rsidRPr="00DB1369">
        <w:rPr>
          <w:rFonts w:ascii="Segoe UI" w:hAnsi="Segoe UI" w:cs="Segoe UI"/>
          <w:b/>
          <w:bCs/>
          <w:iCs/>
          <w:sz w:val="20"/>
          <w:szCs w:val="20"/>
        </w:rPr>
        <w:t>zgłoszenie uczestnictwa</w:t>
      </w:r>
      <w:r w:rsidRPr="00DB1369">
        <w:rPr>
          <w:rFonts w:ascii="Segoe UI" w:hAnsi="Segoe UI" w:cs="Segoe UI"/>
          <w:bCs/>
          <w:iCs/>
          <w:sz w:val="20"/>
          <w:szCs w:val="20"/>
        </w:rPr>
        <w:t xml:space="preserve"> </w:t>
      </w:r>
      <w:r w:rsidRPr="003E6658">
        <w:rPr>
          <w:rFonts w:ascii="Segoe UI" w:hAnsi="Segoe UI" w:cs="Segoe UI"/>
          <w:b/>
          <w:bCs/>
          <w:iCs/>
          <w:sz w:val="20"/>
          <w:szCs w:val="20"/>
        </w:rPr>
        <w:t>przez osoby, którym przysługuje prawo do rekompensaty z tytułu pozostawienia nieruchomości poza obecnymi granicami Rzeczypospolitej Polskiej</w:t>
      </w:r>
      <w:r w:rsidRPr="00DB1369">
        <w:rPr>
          <w:rFonts w:ascii="Segoe UI" w:hAnsi="Segoe UI" w:cs="Segoe UI"/>
          <w:bCs/>
          <w:iCs/>
          <w:sz w:val="20"/>
          <w:szCs w:val="20"/>
        </w:rPr>
        <w:t xml:space="preserve"> w wyniku wypędzenia z byłego terytorium Rzeczypospolitej Polskiej lub jego opuszczenia w związku z wojną rozpoczętą w 1939 r., wraz z przedstawieniem oryginału zaświadczenia lub decyzji potwierdzającej prawo do zaliczenia wartości nieruchomości pozostawionych poza obecnymi granicami państwa polskiego oraz złożeniem pisemnego zobowiązania do uiszczenia kwoty równej wysokości wadium ustalonego w razie uchylenia się od zawarcia umowy, </w:t>
      </w:r>
      <w:r w:rsidRPr="00DB1369">
        <w:rPr>
          <w:rFonts w:ascii="Segoe UI" w:hAnsi="Segoe UI" w:cs="Segoe UI"/>
          <w:b/>
          <w:bCs/>
          <w:iCs/>
          <w:sz w:val="20"/>
          <w:szCs w:val="20"/>
        </w:rPr>
        <w:t xml:space="preserve">z zaznaczeniem adresu nieruchomości, najpóźniej do dnia </w:t>
      </w:r>
      <w:r w:rsidR="00FF3EAB">
        <w:rPr>
          <w:rFonts w:ascii="Segoe UI" w:hAnsi="Segoe UI" w:cs="Segoe UI"/>
          <w:b/>
          <w:bCs/>
          <w:iCs/>
          <w:sz w:val="20"/>
          <w:szCs w:val="20"/>
        </w:rPr>
        <w:t>27 września</w:t>
      </w:r>
      <w:r w:rsidRPr="0079281C">
        <w:rPr>
          <w:rFonts w:ascii="Segoe UI" w:hAnsi="Segoe UI" w:cs="Segoe UI"/>
          <w:b/>
          <w:bCs/>
          <w:iCs/>
          <w:sz w:val="20"/>
          <w:szCs w:val="20"/>
        </w:rPr>
        <w:t xml:space="preserve"> 20</w:t>
      </w:r>
      <w:r w:rsidR="00FF3EAB">
        <w:rPr>
          <w:rFonts w:ascii="Segoe UI" w:hAnsi="Segoe UI" w:cs="Segoe UI"/>
          <w:b/>
          <w:bCs/>
          <w:iCs/>
          <w:sz w:val="20"/>
          <w:szCs w:val="20"/>
        </w:rPr>
        <w:t>22</w:t>
      </w:r>
      <w:r w:rsidRPr="0079281C">
        <w:rPr>
          <w:rFonts w:ascii="Segoe UI" w:hAnsi="Segoe UI" w:cs="Segoe UI"/>
          <w:b/>
          <w:bCs/>
          <w:iCs/>
          <w:sz w:val="20"/>
          <w:szCs w:val="20"/>
        </w:rPr>
        <w:t> r.</w:t>
      </w:r>
      <w:r>
        <w:rPr>
          <w:rFonts w:ascii="Segoe UI" w:hAnsi="Segoe UI" w:cs="Segoe UI"/>
          <w:b/>
          <w:bCs/>
          <w:iCs/>
          <w:sz w:val="20"/>
          <w:szCs w:val="20"/>
        </w:rPr>
        <w:t xml:space="preserve"> </w:t>
      </w:r>
      <w:r w:rsidRPr="00DB1369">
        <w:rPr>
          <w:rFonts w:ascii="Segoe UI" w:hAnsi="Segoe UI" w:cs="Segoe UI"/>
          <w:b/>
          <w:bCs/>
          <w:iCs/>
          <w:sz w:val="20"/>
          <w:szCs w:val="20"/>
        </w:rPr>
        <w:t xml:space="preserve">do godziny 15:00 </w:t>
      </w:r>
      <w:r w:rsidRPr="00DB1369">
        <w:rPr>
          <w:rFonts w:ascii="Segoe UI" w:hAnsi="Segoe UI" w:cs="Segoe UI"/>
          <w:bCs/>
          <w:iCs/>
          <w:sz w:val="20"/>
          <w:szCs w:val="20"/>
        </w:rPr>
        <w:t>pisemnie w pokoju nr 324 Urzędu Miejskiego w Koszalinie.</w:t>
      </w:r>
    </w:p>
    <w:p w:rsidR="00F17F38" w:rsidRDefault="0079281C" w:rsidP="00F17F38">
      <w:pPr>
        <w:jc w:val="both"/>
        <w:rPr>
          <w:rFonts w:ascii="Segoe UI" w:hAnsi="Segoe UI" w:cs="Segoe UI"/>
          <w:sz w:val="20"/>
          <w:szCs w:val="20"/>
        </w:rPr>
      </w:pPr>
      <w:r w:rsidRPr="00DB1369">
        <w:rPr>
          <w:rFonts w:ascii="Segoe UI" w:hAnsi="Segoe UI" w:cs="Segoe UI"/>
          <w:sz w:val="20"/>
          <w:szCs w:val="20"/>
        </w:rPr>
        <w:t xml:space="preserve">Wadium osoby wygrywającej przetarg, zalicza się na poczet ceny nabycia nieruchomości. Pozostałym uczestnikom przetargu wadium zostanie zwrócone po przetargu, nie później niż przed upływem 3 dni od dnia zamknięcia przetargu. </w:t>
      </w:r>
    </w:p>
    <w:p w:rsidR="00F17F38" w:rsidRPr="00042437" w:rsidRDefault="0079281C" w:rsidP="00F17F38">
      <w:pPr>
        <w:jc w:val="both"/>
        <w:rPr>
          <w:rFonts w:ascii="Segoe UI" w:hAnsi="Segoe UI" w:cs="Segoe UI"/>
          <w:color w:val="FF0000"/>
          <w:sz w:val="20"/>
          <w:szCs w:val="20"/>
        </w:rPr>
      </w:pPr>
      <w:r w:rsidRPr="00DB1369">
        <w:rPr>
          <w:rFonts w:ascii="Segoe UI" w:hAnsi="Segoe UI" w:cs="Segoe UI"/>
          <w:sz w:val="20"/>
          <w:szCs w:val="20"/>
        </w:rPr>
        <w:t>Wadium ulega przepadkowi na rzecz Skarbu Państwa, jeżeli osoba ustalona jako nabywca nieruchomości nie przystąpi bez usprawiedliwienia do zawarcia umowy w miejscu i ter</w:t>
      </w:r>
      <w:r w:rsidR="00F17F38">
        <w:rPr>
          <w:rFonts w:ascii="Segoe UI" w:hAnsi="Segoe UI" w:cs="Segoe UI"/>
          <w:sz w:val="20"/>
          <w:szCs w:val="20"/>
        </w:rPr>
        <w:t>minie, podanych w zawiadomieniu</w:t>
      </w:r>
      <w:r w:rsidR="00F17F38" w:rsidRPr="00F17F38">
        <w:rPr>
          <w:rFonts w:ascii="Segoe UI" w:hAnsi="Segoe UI" w:cs="Segoe UI"/>
          <w:sz w:val="20"/>
          <w:szCs w:val="20"/>
        </w:rPr>
        <w:t xml:space="preserve"> </w:t>
      </w:r>
      <w:r w:rsidR="00F17F38" w:rsidRPr="00042437">
        <w:rPr>
          <w:rFonts w:ascii="Segoe UI" w:hAnsi="Segoe UI" w:cs="Segoe UI"/>
          <w:sz w:val="20"/>
          <w:szCs w:val="20"/>
        </w:rPr>
        <w:t>lub też gdy Nabywca (osoba prawna), który do nabycia nieruchomości zobowiązany jest mieć zgodę odpowiedniego organu, do dnia zawarcia um</w:t>
      </w:r>
      <w:r w:rsidR="00F17F38">
        <w:rPr>
          <w:rFonts w:ascii="Segoe UI" w:hAnsi="Segoe UI" w:cs="Segoe UI"/>
          <w:sz w:val="20"/>
          <w:szCs w:val="20"/>
        </w:rPr>
        <w:t>owy</w:t>
      </w:r>
      <w:r w:rsidR="00F17F38" w:rsidRPr="00042437">
        <w:rPr>
          <w:rFonts w:ascii="Segoe UI" w:hAnsi="Segoe UI" w:cs="Segoe UI"/>
          <w:sz w:val="20"/>
          <w:szCs w:val="20"/>
        </w:rPr>
        <w:t xml:space="preserve"> sprzedaży nieruchomości nie przedstawi takiej zgody lub gdy Nabywca będący Cudzoziemcem nie uzyska zezwolenia ministra właściwego do spraw wewnętrznych na zakup nieruchomości.</w:t>
      </w:r>
    </w:p>
    <w:p w:rsidR="00FF3EAB" w:rsidRPr="00946831" w:rsidRDefault="00FF3EAB" w:rsidP="00FF3EAB">
      <w:pPr>
        <w:spacing w:before="120"/>
        <w:jc w:val="both"/>
        <w:rPr>
          <w:rFonts w:ascii="Segoe UI" w:hAnsi="Segoe UI" w:cs="Segoe UI"/>
          <w:bCs/>
          <w:sz w:val="20"/>
          <w:szCs w:val="20"/>
        </w:rPr>
      </w:pPr>
      <w:r w:rsidRPr="00946831">
        <w:rPr>
          <w:rFonts w:ascii="Segoe UI" w:hAnsi="Segoe UI" w:cs="Segoe UI"/>
          <w:bCs/>
          <w:sz w:val="20"/>
          <w:szCs w:val="20"/>
        </w:rPr>
        <w:t>Warunkiem udziału w przetargu jest wniesienie wadium lub złożenie zgłoszenia uczestnictwa w terminie wyznaczonym w ogłoszeniu o przetargu oraz okazanie komisji przetargowej przed otwarciem przetargu:</w:t>
      </w:r>
    </w:p>
    <w:p w:rsidR="00FF3EAB" w:rsidRPr="00946831" w:rsidRDefault="00FF3EAB" w:rsidP="00FF3EAB">
      <w:pPr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946831">
        <w:rPr>
          <w:rFonts w:ascii="Segoe UI" w:hAnsi="Segoe UI" w:cs="Segoe UI"/>
          <w:sz w:val="20"/>
          <w:szCs w:val="20"/>
        </w:rPr>
        <w:lastRenderedPageBreak/>
        <w:t>–</w:t>
      </w:r>
      <w:r w:rsidRPr="00946831">
        <w:rPr>
          <w:rFonts w:ascii="Segoe UI" w:hAnsi="Segoe UI" w:cs="Segoe UI"/>
          <w:sz w:val="20"/>
          <w:szCs w:val="20"/>
        </w:rPr>
        <w:tab/>
      </w:r>
      <w:r w:rsidRPr="00FF6A57">
        <w:rPr>
          <w:rFonts w:ascii="Segoe UI" w:hAnsi="Segoe UI" w:cs="Segoe UI"/>
          <w:bCs/>
          <w:sz w:val="20"/>
          <w:szCs w:val="20"/>
        </w:rPr>
        <w:t>w </w:t>
      </w:r>
      <w:r w:rsidRPr="00FF6A57">
        <w:rPr>
          <w:rFonts w:ascii="Segoe UI" w:hAnsi="Segoe UI" w:cs="Segoe UI"/>
          <w:sz w:val="20"/>
          <w:szCs w:val="20"/>
        </w:rPr>
        <w:t>przypadku</w:t>
      </w:r>
      <w:r w:rsidRPr="00FF6A57">
        <w:rPr>
          <w:rFonts w:ascii="Segoe UI" w:hAnsi="Segoe UI" w:cs="Segoe UI"/>
          <w:bCs/>
          <w:sz w:val="20"/>
          <w:szCs w:val="20"/>
        </w:rPr>
        <w:t xml:space="preserve"> osób fizycznych -</w:t>
      </w:r>
      <w:r w:rsidRPr="00FF6A57">
        <w:rPr>
          <w:rFonts w:ascii="Segoe UI" w:hAnsi="Segoe UI" w:cs="Segoe UI"/>
          <w:bCs/>
          <w:i/>
          <w:sz w:val="20"/>
          <w:szCs w:val="20"/>
        </w:rPr>
        <w:t xml:space="preserve"> </w:t>
      </w:r>
      <w:r w:rsidRPr="00FF6A57">
        <w:rPr>
          <w:rFonts w:ascii="Segoe UI" w:hAnsi="Segoe UI" w:cs="Segoe UI"/>
          <w:bCs/>
          <w:sz w:val="20"/>
          <w:szCs w:val="20"/>
        </w:rPr>
        <w:t>dokumentu tożsamości,</w:t>
      </w:r>
      <w:r w:rsidRPr="00FF6A57">
        <w:rPr>
          <w:rFonts w:ascii="Segoe UI" w:hAnsi="Segoe UI" w:cs="Segoe UI"/>
          <w:bCs/>
          <w:i/>
          <w:sz w:val="20"/>
          <w:szCs w:val="20"/>
        </w:rPr>
        <w:t xml:space="preserve"> </w:t>
      </w:r>
      <w:r w:rsidRPr="00946831">
        <w:rPr>
          <w:rFonts w:ascii="Segoe UI" w:hAnsi="Segoe UI" w:cs="Segoe UI"/>
          <w:bCs/>
          <w:sz w:val="20"/>
          <w:szCs w:val="20"/>
        </w:rPr>
        <w:t>pełnomocnictwa sporządzonego notarialnie w przypadku reprezentowania osoby fizycznej. Przy nabywaniu nieruchomości do majątku wspólnego, wymagana jest obecność obojga małżonków lub jednego z nich, posiadającego pełnomocnictwo (zgodę) współmałżonka z notarialnym poświadczeniem podpisu, na nabycie nieruchomości i zaciągnięcie zobowiązań z tego tytułu;</w:t>
      </w:r>
    </w:p>
    <w:p w:rsidR="00FF3EAB" w:rsidRPr="00946831" w:rsidRDefault="00FF3EAB" w:rsidP="00FF3EAB">
      <w:pPr>
        <w:ind w:left="284" w:hanging="284"/>
        <w:jc w:val="both"/>
        <w:rPr>
          <w:rFonts w:ascii="Segoe UI" w:hAnsi="Segoe UI" w:cs="Segoe UI"/>
          <w:bCs/>
          <w:sz w:val="20"/>
          <w:szCs w:val="20"/>
        </w:rPr>
      </w:pPr>
      <w:r w:rsidRPr="00946831">
        <w:rPr>
          <w:rFonts w:ascii="Segoe UI" w:hAnsi="Segoe UI" w:cs="Segoe UI"/>
          <w:bCs/>
          <w:sz w:val="20"/>
          <w:szCs w:val="20"/>
        </w:rPr>
        <w:t>–</w:t>
      </w:r>
      <w:r w:rsidRPr="00946831">
        <w:rPr>
          <w:rFonts w:ascii="Segoe UI" w:hAnsi="Segoe UI" w:cs="Segoe UI"/>
          <w:bCs/>
          <w:sz w:val="20"/>
          <w:szCs w:val="20"/>
        </w:rPr>
        <w:tab/>
        <w:t xml:space="preserve">w przypadku osób fizycznych zamierzających nabyć nieruchomość w związku z prowadzoną działalnością gospodarczą </w:t>
      </w:r>
      <w:r>
        <w:rPr>
          <w:rFonts w:ascii="Segoe UI" w:hAnsi="Segoe UI" w:cs="Segoe UI"/>
          <w:bCs/>
          <w:sz w:val="20"/>
          <w:szCs w:val="20"/>
        </w:rPr>
        <w:t>–</w:t>
      </w:r>
      <w:r w:rsidRPr="00946831">
        <w:rPr>
          <w:rFonts w:ascii="Segoe UI" w:hAnsi="Segoe UI" w:cs="Segoe UI"/>
          <w:bCs/>
          <w:sz w:val="20"/>
          <w:szCs w:val="20"/>
        </w:rPr>
        <w:t xml:space="preserve"> </w:t>
      </w:r>
      <w:r>
        <w:rPr>
          <w:rFonts w:ascii="Segoe UI" w:hAnsi="Segoe UI" w:cs="Segoe UI"/>
          <w:bCs/>
          <w:sz w:val="20"/>
          <w:szCs w:val="20"/>
        </w:rPr>
        <w:t xml:space="preserve">dokumentu </w:t>
      </w:r>
      <w:r w:rsidRPr="00946831">
        <w:rPr>
          <w:rFonts w:ascii="Segoe UI" w:hAnsi="Segoe UI" w:cs="Segoe UI"/>
          <w:bCs/>
          <w:sz w:val="20"/>
          <w:szCs w:val="20"/>
        </w:rPr>
        <w:t>tożsamości i aktualnego wyciągu z Centralnej Ewidencji i Informacji o Działalności Gospodarczej. Przy nabywaniu nieruchomości do majątku wspólnego, wymagana jest obecność obojga małżonków lub jednego z nich, posiadającego pełnomocnictwo (zgodę) współmałżonka z notarialnym poświadczeniem podpisu, na nabycie nieruchomości i zaciągnięcie zobowiązań z tego tytułu;</w:t>
      </w:r>
    </w:p>
    <w:p w:rsidR="00FF3EAB" w:rsidRPr="00946831" w:rsidRDefault="00FF3EAB" w:rsidP="00FF3EAB">
      <w:pPr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946831">
        <w:rPr>
          <w:rFonts w:ascii="Segoe UI" w:hAnsi="Segoe UI" w:cs="Segoe UI"/>
          <w:bCs/>
          <w:sz w:val="20"/>
          <w:szCs w:val="20"/>
        </w:rPr>
        <w:t>–</w:t>
      </w:r>
      <w:r w:rsidRPr="00946831">
        <w:rPr>
          <w:rFonts w:ascii="Segoe UI" w:hAnsi="Segoe UI" w:cs="Segoe UI"/>
          <w:bCs/>
          <w:sz w:val="20"/>
          <w:szCs w:val="20"/>
        </w:rPr>
        <w:tab/>
        <w:t xml:space="preserve">w przypadku spółek cywilnych - </w:t>
      </w:r>
      <w:r>
        <w:rPr>
          <w:rFonts w:ascii="Segoe UI" w:hAnsi="Segoe UI" w:cs="Segoe UI"/>
          <w:bCs/>
          <w:sz w:val="20"/>
          <w:szCs w:val="20"/>
        </w:rPr>
        <w:t>dokumentów</w:t>
      </w:r>
      <w:r w:rsidRPr="00946831">
        <w:rPr>
          <w:rFonts w:ascii="Segoe UI" w:hAnsi="Segoe UI" w:cs="Segoe UI"/>
          <w:bCs/>
          <w:sz w:val="20"/>
          <w:szCs w:val="20"/>
        </w:rPr>
        <w:t xml:space="preserve"> tożsamości wspólników spółki, właściwych pełnomocnictw sporządzonych notarialnie, aktualnego wyciągu z Centralnej Ewidencji i Informacji o Działalności Gospodarczej wspólników, numeru NIP, numeru REGON, umowy spółki, w przypadku nieobecności któregokolwiek ze wspólników – uchwały spółki zezwalającej na nabycie nieruchomości i zaciągnięcie zobowiązań z tego tytułu;</w:t>
      </w:r>
    </w:p>
    <w:p w:rsidR="00FF3EAB" w:rsidRPr="00946831" w:rsidRDefault="00FF3EAB" w:rsidP="00FF3EAB">
      <w:pPr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946831">
        <w:rPr>
          <w:rFonts w:ascii="Segoe UI" w:hAnsi="Segoe UI" w:cs="Segoe UI"/>
          <w:sz w:val="20"/>
          <w:szCs w:val="20"/>
        </w:rPr>
        <w:t>–</w:t>
      </w:r>
      <w:r w:rsidRPr="00946831">
        <w:rPr>
          <w:rFonts w:ascii="Segoe UI" w:hAnsi="Segoe UI" w:cs="Segoe UI"/>
          <w:sz w:val="20"/>
          <w:szCs w:val="20"/>
        </w:rPr>
        <w:tab/>
      </w:r>
      <w:r w:rsidRPr="00946831">
        <w:rPr>
          <w:rFonts w:ascii="Segoe UI" w:hAnsi="Segoe UI" w:cs="Segoe UI"/>
          <w:bCs/>
          <w:sz w:val="20"/>
          <w:szCs w:val="20"/>
        </w:rPr>
        <w:t xml:space="preserve">w przypadku osób prawnych - aktualnego odpisu z właściwego rejestru, właściwych pełnomocnictw sporządzonych notarialnie, </w:t>
      </w:r>
      <w:r>
        <w:rPr>
          <w:rFonts w:ascii="Segoe UI" w:hAnsi="Segoe UI" w:cs="Segoe UI"/>
          <w:bCs/>
          <w:sz w:val="20"/>
          <w:szCs w:val="20"/>
        </w:rPr>
        <w:t xml:space="preserve">dokumentów </w:t>
      </w:r>
      <w:r w:rsidRPr="00946831">
        <w:rPr>
          <w:rFonts w:ascii="Segoe UI" w:hAnsi="Segoe UI" w:cs="Segoe UI"/>
          <w:bCs/>
          <w:sz w:val="20"/>
          <w:szCs w:val="20"/>
        </w:rPr>
        <w:t>tożsamości osób reprezentujących podmiot, umowy spółki, uchwały odpowiedniego organu osoby prawnej zezwalającej na nabycie nieruchomości i zaciągnięcie zobowiązań</w:t>
      </w:r>
      <w:r w:rsidRPr="00946831">
        <w:rPr>
          <w:rFonts w:ascii="Segoe UI" w:hAnsi="Segoe UI" w:cs="Segoe UI"/>
          <w:bCs/>
          <w:sz w:val="20"/>
          <w:szCs w:val="20"/>
        </w:rPr>
        <w:br/>
        <w:t>z tego tytułu;</w:t>
      </w:r>
    </w:p>
    <w:p w:rsidR="00FF3EAB" w:rsidRDefault="00FF3EAB" w:rsidP="00FF3EAB">
      <w:pPr>
        <w:ind w:left="284" w:hanging="284"/>
        <w:jc w:val="both"/>
        <w:rPr>
          <w:rFonts w:ascii="Segoe UI" w:hAnsi="Segoe UI" w:cs="Segoe UI"/>
          <w:bCs/>
          <w:sz w:val="20"/>
          <w:szCs w:val="20"/>
        </w:rPr>
      </w:pPr>
      <w:r w:rsidRPr="00946831">
        <w:rPr>
          <w:rFonts w:ascii="Segoe UI" w:hAnsi="Segoe UI" w:cs="Segoe UI"/>
          <w:sz w:val="20"/>
          <w:szCs w:val="20"/>
        </w:rPr>
        <w:t>–</w:t>
      </w:r>
      <w:r w:rsidRPr="00946831">
        <w:rPr>
          <w:rFonts w:ascii="Segoe UI" w:hAnsi="Segoe UI" w:cs="Segoe UI"/>
          <w:sz w:val="20"/>
          <w:szCs w:val="20"/>
        </w:rPr>
        <w:tab/>
      </w:r>
      <w:r w:rsidRPr="00946831">
        <w:rPr>
          <w:rFonts w:ascii="Segoe UI" w:hAnsi="Segoe UI" w:cs="Segoe UI"/>
          <w:bCs/>
          <w:sz w:val="20"/>
          <w:szCs w:val="20"/>
        </w:rPr>
        <w:t>w przypadku cudzoziemców nie będących obywatelami lub przedsiębiorcami państw członkowskich Europejskiego Obszaru Gospodarczego – dodatkowo przedłożenie przyrzeczenia zezwolenia na nabycie nieruchomości (promesy).</w:t>
      </w:r>
    </w:p>
    <w:p w:rsidR="00FF3EAB" w:rsidRDefault="0063431F" w:rsidP="007643FD">
      <w:pPr>
        <w:jc w:val="both"/>
        <w:rPr>
          <w:rFonts w:ascii="Segoe UI" w:hAnsi="Segoe UI" w:cs="Segoe UI"/>
          <w:sz w:val="20"/>
          <w:szCs w:val="20"/>
        </w:rPr>
      </w:pPr>
      <w:r w:rsidRPr="00042437">
        <w:rPr>
          <w:rFonts w:ascii="Segoe UI" w:hAnsi="Segoe UI" w:cs="Segoe UI"/>
          <w:sz w:val="20"/>
          <w:szCs w:val="20"/>
        </w:rPr>
        <w:t>Wszystkie wyżej wymienione dokumenty powinny mieć formę pisemną (papierową).</w:t>
      </w:r>
    </w:p>
    <w:p w:rsidR="00F17F38" w:rsidRPr="005815B2" w:rsidRDefault="00F17F38" w:rsidP="00F17F38">
      <w:pPr>
        <w:jc w:val="both"/>
        <w:rPr>
          <w:rFonts w:ascii="Segoe UI" w:hAnsi="Segoe UI" w:cs="Segoe UI"/>
          <w:sz w:val="20"/>
          <w:szCs w:val="20"/>
        </w:rPr>
      </w:pPr>
      <w:r w:rsidRPr="005815B2">
        <w:rPr>
          <w:rFonts w:ascii="Segoe UI" w:hAnsi="Segoe UI" w:cs="Segoe UI"/>
          <w:sz w:val="20"/>
          <w:szCs w:val="20"/>
        </w:rPr>
        <w:t xml:space="preserve">Opłaty notarialne i sądowe związane z zawarciem umowy </w:t>
      </w:r>
      <w:r>
        <w:rPr>
          <w:rFonts w:ascii="Segoe UI" w:hAnsi="Segoe UI" w:cs="Segoe UI"/>
          <w:sz w:val="20"/>
          <w:szCs w:val="20"/>
        </w:rPr>
        <w:t xml:space="preserve">oraz </w:t>
      </w:r>
      <w:r w:rsidRPr="005815B2">
        <w:rPr>
          <w:rFonts w:ascii="Segoe UI" w:hAnsi="Segoe UI" w:cs="Segoe UI"/>
          <w:sz w:val="20"/>
          <w:szCs w:val="20"/>
        </w:rPr>
        <w:t xml:space="preserve">wpisami </w:t>
      </w:r>
      <w:r>
        <w:rPr>
          <w:rFonts w:ascii="Segoe UI" w:hAnsi="Segoe UI" w:cs="Segoe UI"/>
          <w:sz w:val="20"/>
          <w:szCs w:val="20"/>
        </w:rPr>
        <w:t>w księdze</w:t>
      </w:r>
      <w:r w:rsidRPr="005815B2">
        <w:rPr>
          <w:rFonts w:ascii="Segoe UI" w:hAnsi="Segoe UI" w:cs="Segoe UI"/>
          <w:sz w:val="20"/>
          <w:szCs w:val="20"/>
        </w:rPr>
        <w:t xml:space="preserve"> wieczystej, koszty związane z okazaniem granic, ponosi w całości Nabywca nieruchomości.</w:t>
      </w:r>
    </w:p>
    <w:p w:rsidR="0079281C" w:rsidRPr="00FB0493" w:rsidRDefault="0079281C" w:rsidP="0079281C">
      <w:pPr>
        <w:spacing w:before="120"/>
        <w:jc w:val="both"/>
        <w:rPr>
          <w:rFonts w:ascii="Segoe UI" w:hAnsi="Segoe UI" w:cs="Segoe UI"/>
          <w:bCs/>
          <w:sz w:val="20"/>
          <w:szCs w:val="20"/>
        </w:rPr>
      </w:pPr>
      <w:r w:rsidRPr="00FB0493">
        <w:rPr>
          <w:rFonts w:ascii="Segoe UI" w:hAnsi="Segoe UI" w:cs="Segoe UI"/>
          <w:bCs/>
          <w:sz w:val="20"/>
          <w:szCs w:val="20"/>
        </w:rPr>
        <w:t>Szczegółowe informacje w</w:t>
      </w:r>
      <w:r w:rsidR="00FB0493">
        <w:rPr>
          <w:rFonts w:ascii="Segoe UI" w:hAnsi="Segoe UI" w:cs="Segoe UI"/>
          <w:bCs/>
          <w:sz w:val="20"/>
          <w:szCs w:val="20"/>
        </w:rPr>
        <w:t xml:space="preserve"> zakresie obciążeń i zobowiązań</w:t>
      </w:r>
      <w:r w:rsidRPr="00FB0493">
        <w:rPr>
          <w:rFonts w:ascii="Segoe UI" w:hAnsi="Segoe UI" w:cs="Segoe UI"/>
          <w:bCs/>
          <w:sz w:val="20"/>
          <w:szCs w:val="20"/>
        </w:rPr>
        <w:t xml:space="preserve"> dotyczących przedmiotowej nieruchomości </w:t>
      </w:r>
      <w:r w:rsidR="00FB0493" w:rsidRPr="00FB0493">
        <w:rPr>
          <w:rFonts w:ascii="Segoe UI" w:hAnsi="Segoe UI" w:cs="Segoe UI"/>
          <w:bCs/>
          <w:sz w:val="20"/>
          <w:szCs w:val="20"/>
        </w:rPr>
        <w:t xml:space="preserve">zawarte są w warunkach przetargu. </w:t>
      </w:r>
    </w:p>
    <w:p w:rsidR="00F17F38" w:rsidRDefault="00F17F38" w:rsidP="007643FD">
      <w:pPr>
        <w:tabs>
          <w:tab w:val="left" w:pos="9360"/>
        </w:tabs>
        <w:spacing w:before="120"/>
        <w:ind w:right="-28"/>
        <w:jc w:val="both"/>
        <w:outlineLvl w:val="0"/>
        <w:rPr>
          <w:rFonts w:ascii="Segoe UI" w:hAnsi="Segoe UI" w:cs="Segoe UI"/>
          <w:sz w:val="20"/>
          <w:szCs w:val="20"/>
        </w:rPr>
      </w:pPr>
      <w:r w:rsidRPr="00F17F38">
        <w:rPr>
          <w:rFonts w:ascii="Segoe UI" w:hAnsi="Segoe UI" w:cs="Segoe UI"/>
          <w:sz w:val="20"/>
          <w:szCs w:val="20"/>
        </w:rPr>
        <w:t>Przed przystąpieniem do przetargu należy zapoznać się z warunkami przetargu oraz dokumentacją dotyczącą nieruchomości.</w:t>
      </w:r>
    </w:p>
    <w:p w:rsidR="0079281C" w:rsidRPr="00DB1369" w:rsidRDefault="0079281C" w:rsidP="0079281C">
      <w:pPr>
        <w:jc w:val="both"/>
        <w:rPr>
          <w:rFonts w:ascii="Segoe UI" w:hAnsi="Segoe UI" w:cs="Segoe UI"/>
          <w:sz w:val="20"/>
          <w:szCs w:val="20"/>
        </w:rPr>
      </w:pPr>
      <w:r w:rsidRPr="00DB1369">
        <w:rPr>
          <w:rFonts w:ascii="Segoe UI" w:hAnsi="Segoe UI" w:cs="Segoe UI"/>
          <w:sz w:val="20"/>
          <w:szCs w:val="20"/>
        </w:rPr>
        <w:t>Termin do złożenia wniosku przez osoby, którym przysług</w:t>
      </w:r>
      <w:r w:rsidR="0063431F">
        <w:rPr>
          <w:rFonts w:ascii="Segoe UI" w:hAnsi="Segoe UI" w:cs="Segoe UI"/>
          <w:sz w:val="20"/>
          <w:szCs w:val="20"/>
        </w:rPr>
        <w:t>iwało</w:t>
      </w:r>
      <w:r w:rsidRPr="00DB1369">
        <w:rPr>
          <w:rFonts w:ascii="Segoe UI" w:hAnsi="Segoe UI" w:cs="Segoe UI"/>
          <w:sz w:val="20"/>
          <w:szCs w:val="20"/>
        </w:rPr>
        <w:t xml:space="preserve"> pierwszeństwo w nabyciu </w:t>
      </w:r>
      <w:r w:rsidR="0063431F">
        <w:rPr>
          <w:rFonts w:ascii="Segoe UI" w:hAnsi="Segoe UI" w:cs="Segoe UI"/>
          <w:sz w:val="20"/>
          <w:szCs w:val="20"/>
        </w:rPr>
        <w:t xml:space="preserve">nieruchomości </w:t>
      </w:r>
      <w:r w:rsidRPr="00DB1369">
        <w:rPr>
          <w:rFonts w:ascii="Segoe UI" w:hAnsi="Segoe UI" w:cs="Segoe UI"/>
          <w:sz w:val="20"/>
          <w:szCs w:val="20"/>
        </w:rPr>
        <w:t xml:space="preserve">na podstawie art. 34 ust. 1 pkt 1 i 2 ustawy o gospodarce nieruchomościami upłynął w dniu </w:t>
      </w:r>
      <w:r w:rsidR="00FF3EAB">
        <w:rPr>
          <w:rFonts w:ascii="Segoe UI" w:hAnsi="Segoe UI" w:cs="Segoe UI"/>
          <w:sz w:val="20"/>
          <w:szCs w:val="20"/>
        </w:rPr>
        <w:t>18.07.2022</w:t>
      </w:r>
      <w:r w:rsidR="00255490">
        <w:rPr>
          <w:rFonts w:ascii="Segoe UI" w:hAnsi="Segoe UI" w:cs="Segoe UI"/>
          <w:sz w:val="20"/>
          <w:szCs w:val="20"/>
        </w:rPr>
        <w:t xml:space="preserve"> </w:t>
      </w:r>
      <w:r w:rsidRPr="00DB1369">
        <w:rPr>
          <w:rFonts w:ascii="Segoe UI" w:hAnsi="Segoe UI" w:cs="Segoe UI"/>
          <w:sz w:val="20"/>
          <w:szCs w:val="20"/>
        </w:rPr>
        <w:t>r.</w:t>
      </w:r>
    </w:p>
    <w:p w:rsidR="0063431F" w:rsidRDefault="00FB0493" w:rsidP="0079281C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</w:t>
      </w:r>
      <w:r w:rsidR="0079281C" w:rsidRPr="00DB1369">
        <w:rPr>
          <w:rFonts w:ascii="Segoe UI" w:hAnsi="Segoe UI" w:cs="Segoe UI"/>
          <w:sz w:val="20"/>
          <w:szCs w:val="20"/>
        </w:rPr>
        <w:t xml:space="preserve">nformacje </w:t>
      </w:r>
      <w:r>
        <w:rPr>
          <w:rFonts w:ascii="Segoe UI" w:hAnsi="Segoe UI" w:cs="Segoe UI"/>
          <w:sz w:val="20"/>
          <w:szCs w:val="20"/>
        </w:rPr>
        <w:t xml:space="preserve">dotyczące przetargu </w:t>
      </w:r>
      <w:r w:rsidR="0079281C" w:rsidRPr="00DB1369">
        <w:rPr>
          <w:rFonts w:ascii="Segoe UI" w:hAnsi="Segoe UI" w:cs="Segoe UI"/>
          <w:sz w:val="20"/>
          <w:szCs w:val="20"/>
        </w:rPr>
        <w:t>można uzyskać w Wydziale Nieruchomości Urzędu Miejskiego w Kosz</w:t>
      </w:r>
      <w:r w:rsidR="0063431F">
        <w:rPr>
          <w:rFonts w:ascii="Segoe UI" w:hAnsi="Segoe UI" w:cs="Segoe UI"/>
          <w:sz w:val="20"/>
          <w:szCs w:val="20"/>
        </w:rPr>
        <w:t>alinie – II piętro, pokój nr 227, tel. 94 348 88 18</w:t>
      </w:r>
      <w:r w:rsidR="0079281C">
        <w:rPr>
          <w:rFonts w:ascii="Segoe UI" w:hAnsi="Segoe UI" w:cs="Segoe UI"/>
          <w:sz w:val="20"/>
          <w:szCs w:val="20"/>
        </w:rPr>
        <w:t>,</w:t>
      </w:r>
      <w:r w:rsidR="0079281C" w:rsidRPr="00DB1369">
        <w:rPr>
          <w:rFonts w:ascii="Segoe UI" w:hAnsi="Segoe UI" w:cs="Segoe UI"/>
          <w:sz w:val="20"/>
          <w:szCs w:val="20"/>
        </w:rPr>
        <w:t xml:space="preserve"> </w:t>
      </w:r>
    </w:p>
    <w:p w:rsidR="0063431F" w:rsidRDefault="0063431F" w:rsidP="0079281C">
      <w:pPr>
        <w:jc w:val="both"/>
        <w:rPr>
          <w:rFonts w:ascii="Segoe UI" w:hAnsi="Segoe UI" w:cs="Segoe UI"/>
          <w:sz w:val="20"/>
          <w:szCs w:val="20"/>
        </w:rPr>
      </w:pPr>
      <w:r w:rsidRPr="00042437">
        <w:rPr>
          <w:rFonts w:ascii="Segoe UI" w:hAnsi="Segoe UI" w:cs="Segoe UI"/>
          <w:sz w:val="20"/>
          <w:szCs w:val="20"/>
        </w:rPr>
        <w:t xml:space="preserve">e-mail: </w:t>
      </w:r>
      <w:r>
        <w:rPr>
          <w:rFonts w:ascii="Segoe UI" w:hAnsi="Segoe UI" w:cs="Segoe UI"/>
          <w:sz w:val="20"/>
          <w:szCs w:val="20"/>
        </w:rPr>
        <w:t>joanna</w:t>
      </w:r>
      <w:r w:rsidRPr="00042437"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sz w:val="20"/>
          <w:szCs w:val="20"/>
        </w:rPr>
        <w:t>ostaszewska</w:t>
      </w:r>
      <w:r w:rsidRPr="00042437">
        <w:rPr>
          <w:rFonts w:ascii="Segoe UI" w:hAnsi="Segoe UI" w:cs="Segoe UI"/>
          <w:sz w:val="20"/>
          <w:szCs w:val="20"/>
        </w:rPr>
        <w:t>@um.koszalin.pl</w:t>
      </w:r>
    </w:p>
    <w:p w:rsidR="00F17F38" w:rsidRDefault="0063431F" w:rsidP="0079281C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Ogłoszenie </w:t>
      </w:r>
      <w:r w:rsidR="0079281C" w:rsidRPr="00DB1369">
        <w:rPr>
          <w:rFonts w:ascii="Segoe UI" w:hAnsi="Segoe UI" w:cs="Segoe UI"/>
          <w:sz w:val="20"/>
          <w:szCs w:val="20"/>
        </w:rPr>
        <w:t>wywieszono na tablicy ogłoszeń w Urzę</w:t>
      </w:r>
      <w:r>
        <w:rPr>
          <w:rFonts w:ascii="Segoe UI" w:hAnsi="Segoe UI" w:cs="Segoe UI"/>
          <w:sz w:val="20"/>
          <w:szCs w:val="20"/>
        </w:rPr>
        <w:t xml:space="preserve">dzie Miejskim </w:t>
      </w:r>
      <w:r w:rsidR="00FF3EAB">
        <w:rPr>
          <w:rFonts w:ascii="Segoe UI" w:hAnsi="Segoe UI" w:cs="Segoe UI"/>
          <w:sz w:val="20"/>
          <w:szCs w:val="20"/>
        </w:rPr>
        <w:t xml:space="preserve">w Koszalinie – II piętro </w:t>
      </w:r>
      <w:r w:rsidR="0079281C" w:rsidRPr="00DB1369">
        <w:rPr>
          <w:rFonts w:ascii="Segoe UI" w:hAnsi="Segoe UI" w:cs="Segoe UI"/>
          <w:sz w:val="20"/>
          <w:szCs w:val="20"/>
        </w:rPr>
        <w:t xml:space="preserve">oraz opublikowano na stronach internetowych: </w:t>
      </w:r>
    </w:p>
    <w:p w:rsidR="0079281C" w:rsidRPr="00DB1369" w:rsidRDefault="00F2341F" w:rsidP="0079281C">
      <w:pPr>
        <w:jc w:val="both"/>
        <w:rPr>
          <w:rFonts w:ascii="Segoe UI" w:hAnsi="Segoe UI" w:cs="Segoe UI"/>
          <w:sz w:val="20"/>
          <w:szCs w:val="20"/>
        </w:rPr>
      </w:pPr>
      <w:hyperlink r:id="rId7" w:history="1">
        <w:r w:rsidR="0079281C" w:rsidRPr="00F57BFE">
          <w:rPr>
            <w:rStyle w:val="Hipercze"/>
            <w:rFonts w:ascii="Segoe UI" w:hAnsi="Segoe UI" w:cs="Segoe UI"/>
            <w:color w:val="auto"/>
            <w:sz w:val="20"/>
            <w:szCs w:val="20"/>
          </w:rPr>
          <w:t>www.koszalin.pl</w:t>
        </w:r>
      </w:hyperlink>
      <w:r w:rsidR="0079281C" w:rsidRPr="00DB1369">
        <w:rPr>
          <w:rFonts w:ascii="Segoe UI" w:hAnsi="Segoe UI" w:cs="Segoe UI"/>
          <w:sz w:val="20"/>
          <w:szCs w:val="20"/>
        </w:rPr>
        <w:t xml:space="preserve"> – Dla inwestorów, </w:t>
      </w:r>
      <w:r w:rsidR="00F17F38">
        <w:rPr>
          <w:rFonts w:ascii="Segoe UI" w:hAnsi="Segoe UI" w:cs="Segoe UI"/>
          <w:sz w:val="20"/>
          <w:szCs w:val="20"/>
        </w:rPr>
        <w:t xml:space="preserve"> </w:t>
      </w:r>
      <w:hyperlink r:id="rId8" w:history="1">
        <w:r w:rsidR="00ED6342" w:rsidRPr="00DB41C7">
          <w:rPr>
            <w:rStyle w:val="Hipercze"/>
            <w:rFonts w:ascii="Segoe UI" w:hAnsi="Segoe UI" w:cs="Segoe UI"/>
            <w:sz w:val="20"/>
            <w:szCs w:val="20"/>
          </w:rPr>
          <w:t>www.bip.koszalin.pl</w:t>
        </w:r>
      </w:hyperlink>
      <w:r w:rsidR="0079281C" w:rsidRPr="00DB1369">
        <w:rPr>
          <w:rFonts w:ascii="Segoe UI" w:hAnsi="Segoe UI" w:cs="Segoe UI"/>
          <w:sz w:val="20"/>
          <w:szCs w:val="20"/>
        </w:rPr>
        <w:t xml:space="preserve"> – ogłoszenia Wydziału Nieruchomości.</w:t>
      </w:r>
    </w:p>
    <w:p w:rsidR="007643FD" w:rsidRDefault="0079281C" w:rsidP="007643FD">
      <w:pPr>
        <w:jc w:val="both"/>
        <w:rPr>
          <w:rFonts w:ascii="Segoe UI" w:hAnsi="Segoe UI" w:cs="Segoe UI"/>
          <w:sz w:val="20"/>
          <w:szCs w:val="20"/>
        </w:rPr>
      </w:pPr>
      <w:r w:rsidRPr="00DB1369">
        <w:rPr>
          <w:rFonts w:ascii="Segoe UI" w:hAnsi="Segoe UI" w:cs="Segoe UI"/>
          <w:sz w:val="20"/>
          <w:szCs w:val="20"/>
        </w:rPr>
        <w:t>Zastrzega się prawo odwołania przetargu w przypadku zaistnienia ważnych powodów.</w:t>
      </w:r>
    </w:p>
    <w:p w:rsidR="007643FD" w:rsidRDefault="007643FD" w:rsidP="007643FD">
      <w:pPr>
        <w:jc w:val="both"/>
        <w:rPr>
          <w:rFonts w:ascii="Segoe UI" w:hAnsi="Segoe UI" w:cs="Segoe UI"/>
          <w:sz w:val="20"/>
          <w:szCs w:val="20"/>
        </w:rPr>
      </w:pPr>
    </w:p>
    <w:p w:rsidR="007643FD" w:rsidRPr="007643FD" w:rsidRDefault="007643FD" w:rsidP="007643FD">
      <w:pPr>
        <w:ind w:left="7799" w:firstLine="709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Cs/>
          <w:sz w:val="18"/>
          <w:szCs w:val="18"/>
        </w:rPr>
        <w:t>PREZYDENT MIASTA</w:t>
      </w:r>
    </w:p>
    <w:p w:rsidR="007643FD" w:rsidRDefault="007643FD" w:rsidP="007643FD">
      <w:pPr>
        <w:spacing w:before="120"/>
        <w:ind w:left="4963" w:firstLine="709"/>
        <w:jc w:val="both"/>
        <w:rPr>
          <w:rFonts w:ascii="Segoe UI" w:hAnsi="Segoe UI" w:cs="Segoe UI"/>
          <w:bCs/>
          <w:i/>
          <w:sz w:val="18"/>
          <w:szCs w:val="18"/>
        </w:rPr>
      </w:pPr>
      <w:r>
        <w:rPr>
          <w:rFonts w:ascii="Segoe UI" w:hAnsi="Segoe UI" w:cs="Segoe UI"/>
          <w:bCs/>
          <w:sz w:val="18"/>
          <w:szCs w:val="18"/>
        </w:rPr>
        <w:t xml:space="preserve">       </w:t>
      </w:r>
      <w:r>
        <w:rPr>
          <w:rFonts w:ascii="Segoe UI" w:hAnsi="Segoe UI" w:cs="Segoe UI"/>
          <w:bCs/>
          <w:sz w:val="18"/>
          <w:szCs w:val="18"/>
        </w:rPr>
        <w:t xml:space="preserve">                                                         </w:t>
      </w:r>
      <w:r>
        <w:rPr>
          <w:rFonts w:ascii="Segoe UI" w:hAnsi="Segoe UI" w:cs="Segoe UI"/>
          <w:bCs/>
          <w:i/>
          <w:sz w:val="18"/>
          <w:szCs w:val="18"/>
        </w:rPr>
        <w:t xml:space="preserve">Piotr Jedliński </w:t>
      </w:r>
    </w:p>
    <w:p w:rsidR="00F2341F" w:rsidRPr="00E0762A" w:rsidRDefault="00F2341F" w:rsidP="00F2341F">
      <w:pPr>
        <w:rPr>
          <w:rFonts w:ascii="Segoe UI" w:hAnsi="Segoe UI" w:cs="Segoe UI"/>
          <w:sz w:val="20"/>
          <w:szCs w:val="20"/>
        </w:rPr>
      </w:pPr>
      <w:r w:rsidRPr="00E0762A">
        <w:rPr>
          <w:rFonts w:ascii="Segoe UI" w:hAnsi="Segoe UI" w:cs="Segoe UI"/>
          <w:sz w:val="20"/>
          <w:szCs w:val="20"/>
        </w:rPr>
        <w:lastRenderedPageBreak/>
        <w:t xml:space="preserve">Klauzula informacyjna dotycząca przetwarzania danych osobowych: </w:t>
      </w:r>
    </w:p>
    <w:p w:rsidR="00F2341F" w:rsidRDefault="00F2341F" w:rsidP="00F2341F">
      <w:pPr>
        <w:rPr>
          <w:rFonts w:ascii="Segoe UI" w:hAnsi="Segoe UI" w:cs="Segoe UI"/>
          <w:sz w:val="20"/>
          <w:szCs w:val="20"/>
        </w:rPr>
      </w:pPr>
      <w:r w:rsidRPr="00E0762A">
        <w:rPr>
          <w:rFonts w:ascii="Segoe UI" w:hAnsi="Segoe UI" w:cs="Segoe UI"/>
          <w:sz w:val="20"/>
          <w:szCs w:val="20"/>
        </w:rPr>
        <w:t xml:space="preserve">Na podstawie art. 13 ust. 1 i 2 Rozporządzenia Parlamentu Europejskiego i Rady (UE) 2016/679 z dnia 27 kwietnia 2016 roku (RODO) informuje się, że: </w:t>
      </w:r>
    </w:p>
    <w:p w:rsidR="00F2341F" w:rsidRDefault="00F2341F" w:rsidP="00F2341F">
      <w:pPr>
        <w:rPr>
          <w:rFonts w:ascii="Segoe UI" w:hAnsi="Segoe UI" w:cs="Segoe UI"/>
          <w:sz w:val="20"/>
          <w:szCs w:val="20"/>
        </w:rPr>
      </w:pPr>
      <w:r w:rsidRPr="00E0762A">
        <w:rPr>
          <w:rFonts w:ascii="Segoe UI" w:hAnsi="Segoe UI" w:cs="Segoe UI"/>
          <w:sz w:val="20"/>
          <w:szCs w:val="20"/>
        </w:rPr>
        <w:t xml:space="preserve">1. Administratorem Pani/Pana danych jest Gmina Miasto Koszalin reprezentowana przez Prezydenta Miasta Koszalina – Urząd Miejski ul. Rynek Staromiejski 6-7, e-mail: </w:t>
      </w:r>
      <w:hyperlink r:id="rId9" w:history="1">
        <w:r w:rsidRPr="00B408D4">
          <w:rPr>
            <w:rStyle w:val="Hipercze"/>
            <w:rFonts w:ascii="Segoe UI" w:hAnsi="Segoe UI" w:cs="Segoe UI"/>
            <w:sz w:val="20"/>
            <w:szCs w:val="20"/>
          </w:rPr>
          <w:t>um.koszalin@um.koszalin.pl</w:t>
        </w:r>
      </w:hyperlink>
      <w:r w:rsidRPr="00E0762A">
        <w:rPr>
          <w:rFonts w:ascii="Segoe UI" w:hAnsi="Segoe UI" w:cs="Segoe UI"/>
          <w:sz w:val="20"/>
          <w:szCs w:val="20"/>
        </w:rPr>
        <w:t xml:space="preserve"> </w:t>
      </w:r>
    </w:p>
    <w:p w:rsidR="00F2341F" w:rsidRDefault="00F2341F" w:rsidP="00F2341F">
      <w:pPr>
        <w:rPr>
          <w:rFonts w:ascii="Segoe UI" w:hAnsi="Segoe UI" w:cs="Segoe UI"/>
          <w:sz w:val="20"/>
          <w:szCs w:val="20"/>
        </w:rPr>
      </w:pPr>
      <w:r w:rsidRPr="00E0762A">
        <w:rPr>
          <w:rFonts w:ascii="Segoe UI" w:hAnsi="Segoe UI" w:cs="Segoe UI"/>
          <w:sz w:val="20"/>
          <w:szCs w:val="20"/>
        </w:rPr>
        <w:t xml:space="preserve">2. W Urzędzie Miejskim w Koszalinie został wyznaczony Inspektor Ochrony Danych: Mariusz Krasicki Urząd Miejski ul. Rynek Staromiejski 6-7 e-mail: </w:t>
      </w:r>
      <w:hyperlink r:id="rId10" w:history="1">
        <w:r w:rsidRPr="00B408D4">
          <w:rPr>
            <w:rStyle w:val="Hipercze"/>
            <w:rFonts w:ascii="Segoe UI" w:hAnsi="Segoe UI" w:cs="Segoe UI"/>
            <w:sz w:val="20"/>
            <w:szCs w:val="20"/>
          </w:rPr>
          <w:t>iodo@um.koszalin.pl</w:t>
        </w:r>
      </w:hyperlink>
      <w:r w:rsidRPr="00E0762A">
        <w:rPr>
          <w:rFonts w:ascii="Segoe UI" w:hAnsi="Segoe UI" w:cs="Segoe UI"/>
          <w:sz w:val="20"/>
          <w:szCs w:val="20"/>
        </w:rPr>
        <w:t xml:space="preserve">. </w:t>
      </w:r>
    </w:p>
    <w:p w:rsidR="00F2341F" w:rsidRDefault="00F2341F" w:rsidP="00F2341F">
      <w:pPr>
        <w:rPr>
          <w:rFonts w:ascii="Segoe UI" w:hAnsi="Segoe UI" w:cs="Segoe UI"/>
          <w:sz w:val="20"/>
          <w:szCs w:val="20"/>
        </w:rPr>
      </w:pPr>
      <w:r w:rsidRPr="00E0762A">
        <w:rPr>
          <w:rFonts w:ascii="Segoe UI" w:hAnsi="Segoe UI" w:cs="Segoe UI"/>
          <w:sz w:val="20"/>
          <w:szCs w:val="20"/>
        </w:rPr>
        <w:t xml:space="preserve">3. Pani/Pana dane osobowe będą przetwarzane zgodnie z art. 6 ust. 1 lit. b) i c) RODO w związku z ustawą z dnia 21 sierpnia 1997 r. o gospodarce nieruchomościami oraz rozporządzeniem Rady Ministrów z dnia 14 września 2004 r. w sprawie sposobu i trybu przeprowadzania przetargów oraz rokowań na zbycie nieruchomości. </w:t>
      </w:r>
    </w:p>
    <w:p w:rsidR="00F2341F" w:rsidRDefault="00F2341F" w:rsidP="00F2341F">
      <w:pPr>
        <w:rPr>
          <w:rFonts w:ascii="Segoe UI" w:hAnsi="Segoe UI" w:cs="Segoe UI"/>
          <w:sz w:val="20"/>
          <w:szCs w:val="20"/>
        </w:rPr>
      </w:pPr>
      <w:r w:rsidRPr="00E0762A">
        <w:rPr>
          <w:rFonts w:ascii="Segoe UI" w:hAnsi="Segoe UI" w:cs="Segoe UI"/>
          <w:sz w:val="20"/>
          <w:szCs w:val="20"/>
        </w:rPr>
        <w:t xml:space="preserve">4. W toku załatwiania Pani/Pana sprawy dane osobowe mogą być przekazane innym podmiotom. Szczegółowych informacji może udzielić urzędnik zajmujący się Pani/Pana sprawą. </w:t>
      </w:r>
    </w:p>
    <w:p w:rsidR="00F2341F" w:rsidRDefault="00F2341F" w:rsidP="00F2341F">
      <w:pPr>
        <w:rPr>
          <w:rFonts w:ascii="Segoe UI" w:hAnsi="Segoe UI" w:cs="Segoe UI"/>
          <w:sz w:val="20"/>
          <w:szCs w:val="20"/>
        </w:rPr>
      </w:pPr>
      <w:r w:rsidRPr="00E0762A">
        <w:rPr>
          <w:rFonts w:ascii="Segoe UI" w:hAnsi="Segoe UI" w:cs="Segoe UI"/>
          <w:sz w:val="20"/>
          <w:szCs w:val="20"/>
        </w:rPr>
        <w:t xml:space="preserve">5. Pani/Pana dane osobowe będą przechowywane przez czas wskazany w Rozporządzeniu Prezesa Rady Ministrów z dnia 18 stycznia 2011 r. w sprawie instrukcji kancelaryjnej, jednolitych rzeczowych wykazów akt oraz instrukcji w sprawie organizacji i zakresu działania archiwów zakładowych. </w:t>
      </w:r>
    </w:p>
    <w:p w:rsidR="00F2341F" w:rsidRDefault="00F2341F" w:rsidP="00F2341F">
      <w:pPr>
        <w:rPr>
          <w:rFonts w:ascii="Segoe UI" w:hAnsi="Segoe UI" w:cs="Segoe UI"/>
          <w:sz w:val="20"/>
          <w:szCs w:val="20"/>
        </w:rPr>
      </w:pPr>
      <w:r w:rsidRPr="00E0762A">
        <w:rPr>
          <w:rFonts w:ascii="Segoe UI" w:hAnsi="Segoe UI" w:cs="Segoe UI"/>
          <w:sz w:val="20"/>
          <w:szCs w:val="20"/>
        </w:rPr>
        <w:t xml:space="preserve">6. Ma Pani/Pan prawo dostępu do swoich danych i ich sprostowania. </w:t>
      </w:r>
    </w:p>
    <w:p w:rsidR="00F2341F" w:rsidRDefault="00F2341F" w:rsidP="00F2341F">
      <w:pPr>
        <w:rPr>
          <w:rFonts w:ascii="Segoe UI" w:hAnsi="Segoe UI" w:cs="Segoe UI"/>
          <w:sz w:val="20"/>
          <w:szCs w:val="20"/>
        </w:rPr>
      </w:pPr>
      <w:r w:rsidRPr="00E0762A">
        <w:rPr>
          <w:rFonts w:ascii="Segoe UI" w:hAnsi="Segoe UI" w:cs="Segoe UI"/>
          <w:sz w:val="20"/>
          <w:szCs w:val="20"/>
        </w:rPr>
        <w:t xml:space="preserve">7. Jeżeli przetwarzanie danych odbywa się na podstawie Pani/Pana zgody (na podstawie art. 6 ust. 1 lit. a) lub art. 9 ust.2 lit. a RODO), ma Pani/Pan prawo cofnięcia zgody w dowolnym momencie. Wycofanie zgody powoduje skutki na przyszłość, czyli nie można przetwarzać Pani/Pana danych osobowych od chwili wycofania zgody. Wszelkie czynności związane z przetwarzaniem danych dokonane przed wycofaniem pozostają zgodne z prawem bez wpływu na zgodność z prawem przetwarzania, którego dokonano na podstawie zgody przed jej cofnięciem. </w:t>
      </w:r>
    </w:p>
    <w:p w:rsidR="00F2341F" w:rsidRDefault="00F2341F" w:rsidP="00F2341F">
      <w:pPr>
        <w:rPr>
          <w:rFonts w:ascii="Segoe UI" w:hAnsi="Segoe UI" w:cs="Segoe UI"/>
          <w:sz w:val="20"/>
          <w:szCs w:val="20"/>
        </w:rPr>
      </w:pPr>
      <w:r w:rsidRPr="00E0762A">
        <w:rPr>
          <w:rFonts w:ascii="Segoe UI" w:hAnsi="Segoe UI" w:cs="Segoe UI"/>
          <w:sz w:val="20"/>
          <w:szCs w:val="20"/>
        </w:rPr>
        <w:t xml:space="preserve">8. Ma Pani/Pan prawo wniesienia skargi do organu nadzorczego, którym jest Urząd Ochrony Danych Osobowych z siedzibą w Warszawie, ul. Stawki 2. </w:t>
      </w:r>
    </w:p>
    <w:p w:rsidR="00F2341F" w:rsidRPr="00E0762A" w:rsidRDefault="00F2341F" w:rsidP="00F2341F">
      <w:pPr>
        <w:rPr>
          <w:rFonts w:ascii="Segoe UI" w:hAnsi="Segoe UI" w:cs="Segoe UI"/>
          <w:i/>
          <w:color w:val="FFFFFF" w:themeColor="background1"/>
          <w:sz w:val="20"/>
          <w:szCs w:val="20"/>
        </w:rPr>
      </w:pPr>
      <w:r w:rsidRPr="00E0762A">
        <w:rPr>
          <w:rFonts w:ascii="Segoe UI" w:hAnsi="Segoe UI" w:cs="Segoe UI"/>
          <w:sz w:val="20"/>
          <w:szCs w:val="20"/>
        </w:rPr>
        <w:t>9. W Urzędzie Miejskim w Koszalinie nie przetwarza się danych osobowych w trybie zautomatyzowanym.</w:t>
      </w:r>
    </w:p>
    <w:p w:rsidR="00C95041" w:rsidRPr="00DB1369" w:rsidRDefault="00C95041" w:rsidP="00FB0493">
      <w:pPr>
        <w:rPr>
          <w:rFonts w:ascii="Segoe UI" w:hAnsi="Segoe UI" w:cs="Segoe UI"/>
          <w:i/>
          <w:color w:val="FFFFFF" w:themeColor="background1"/>
          <w:sz w:val="20"/>
          <w:szCs w:val="20"/>
        </w:rPr>
      </w:pPr>
      <w:bookmarkStart w:id="0" w:name="_GoBack"/>
      <w:bookmarkEnd w:id="0"/>
    </w:p>
    <w:sectPr w:rsidR="00C95041" w:rsidRPr="00DB1369" w:rsidSect="000932D9">
      <w:headerReference w:type="even" r:id="rId11"/>
      <w:headerReference w:type="default" r:id="rId12"/>
      <w:headerReference w:type="first" r:id="rId13"/>
      <w:pgSz w:w="16840" w:h="11907" w:orient="landscape" w:code="9"/>
      <w:pgMar w:top="1418" w:right="1418" w:bottom="1701" w:left="1418" w:header="567" w:footer="567" w:gutter="0"/>
      <w:paperSrc w:first="7" w:other="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8AC" w:rsidRDefault="004058AC">
      <w:r>
        <w:separator/>
      </w:r>
    </w:p>
  </w:endnote>
  <w:endnote w:type="continuationSeparator" w:id="0">
    <w:p w:rsidR="004058AC" w:rsidRDefault="00405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8AC" w:rsidRDefault="004058AC">
      <w:r>
        <w:separator/>
      </w:r>
    </w:p>
  </w:footnote>
  <w:footnote w:type="continuationSeparator" w:id="0">
    <w:p w:rsidR="004058AC" w:rsidRDefault="00405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A2B" w:rsidRDefault="00871A2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71A2B" w:rsidRDefault="00871A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egoe UI" w:hAnsi="Segoe UI" w:cs="Segoe UI"/>
      </w:rPr>
      <w:id w:val="-1401279888"/>
      <w:docPartObj>
        <w:docPartGallery w:val="Page Numbers (Top of Page)"/>
        <w:docPartUnique/>
      </w:docPartObj>
    </w:sdtPr>
    <w:sdtEndPr/>
    <w:sdtContent>
      <w:p w:rsidR="000932D9" w:rsidRPr="000932D9" w:rsidRDefault="000932D9">
        <w:pPr>
          <w:pStyle w:val="Nagwek"/>
          <w:rPr>
            <w:rFonts w:ascii="Segoe UI" w:hAnsi="Segoe UI" w:cs="Segoe UI"/>
          </w:rPr>
        </w:pPr>
        <w:r w:rsidRPr="000932D9">
          <w:rPr>
            <w:rFonts w:ascii="Segoe UI" w:hAnsi="Segoe UI" w:cs="Segoe UI"/>
          </w:rPr>
          <w:fldChar w:fldCharType="begin"/>
        </w:r>
        <w:r w:rsidRPr="000932D9">
          <w:rPr>
            <w:rFonts w:ascii="Segoe UI" w:hAnsi="Segoe UI" w:cs="Segoe UI"/>
          </w:rPr>
          <w:instrText>PAGE   \* MERGEFORMAT</w:instrText>
        </w:r>
        <w:r w:rsidRPr="000932D9">
          <w:rPr>
            <w:rFonts w:ascii="Segoe UI" w:hAnsi="Segoe UI" w:cs="Segoe UI"/>
          </w:rPr>
          <w:fldChar w:fldCharType="separate"/>
        </w:r>
        <w:r w:rsidR="00F2341F">
          <w:rPr>
            <w:rFonts w:ascii="Segoe UI" w:hAnsi="Segoe UI" w:cs="Segoe UI"/>
            <w:noProof/>
          </w:rPr>
          <w:t>2</w:t>
        </w:r>
        <w:r w:rsidRPr="000932D9">
          <w:rPr>
            <w:rFonts w:ascii="Segoe UI" w:hAnsi="Segoe UI" w:cs="Segoe UI"/>
          </w:rPr>
          <w:fldChar w:fldCharType="end"/>
        </w:r>
      </w:p>
    </w:sdtContent>
  </w:sdt>
  <w:p w:rsidR="000932D9" w:rsidRPr="000932D9" w:rsidRDefault="000932D9">
    <w:pPr>
      <w:pStyle w:val="Nagwek"/>
      <w:rPr>
        <w:rFonts w:ascii="Segoe UI" w:hAnsi="Segoe UI" w:cs="Segoe U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46D" w:rsidRPr="007B746D" w:rsidRDefault="007B746D" w:rsidP="007B746D">
    <w:pPr>
      <w:pStyle w:val="Nagwek"/>
      <w:jc w:val="center"/>
      <w:rPr>
        <w:rFonts w:ascii="Segoe UI" w:hAnsi="Segoe UI" w:cs="Segoe UI"/>
        <w:b/>
      </w:rPr>
    </w:pPr>
    <w:r w:rsidRPr="007B746D">
      <w:rPr>
        <w:rFonts w:ascii="Segoe UI" w:hAnsi="Segoe UI" w:cs="Segoe UI"/>
        <w:b/>
      </w:rPr>
      <w:t>OGŁOSZENIE O PRZETARGU USTNYM NIEOGRANICZONYM</w:t>
    </w:r>
    <w:r>
      <w:rPr>
        <w:rFonts w:ascii="Segoe UI" w:hAnsi="Segoe UI" w:cs="Segoe UI"/>
        <w:b/>
      </w:rPr>
      <w:t xml:space="preserve"> NA SPRZEDAŻ NIERUCHOMOŚCI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C4097"/>
    <w:multiLevelType w:val="hybridMultilevel"/>
    <w:tmpl w:val="33ACCAB8"/>
    <w:lvl w:ilvl="0" w:tplc="6D1EABE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31850"/>
    <w:multiLevelType w:val="hybridMultilevel"/>
    <w:tmpl w:val="F32EAD9A"/>
    <w:lvl w:ilvl="0" w:tplc="55701FA4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646446"/>
    <w:multiLevelType w:val="hybridMultilevel"/>
    <w:tmpl w:val="CFBC146C"/>
    <w:lvl w:ilvl="0" w:tplc="68CE04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6F13E6"/>
    <w:multiLevelType w:val="multilevel"/>
    <w:tmpl w:val="F2707AE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091C70"/>
    <w:multiLevelType w:val="hybridMultilevel"/>
    <w:tmpl w:val="F14A6C10"/>
    <w:lvl w:ilvl="0" w:tplc="A094C45C">
      <w:start w:val="5"/>
      <w:numFmt w:val="bullet"/>
      <w:lvlText w:val="­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E6823"/>
    <w:multiLevelType w:val="hybridMultilevel"/>
    <w:tmpl w:val="BEEAB21A"/>
    <w:lvl w:ilvl="0" w:tplc="F85C80B2">
      <w:start w:val="1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4B0363D1"/>
    <w:multiLevelType w:val="hybridMultilevel"/>
    <w:tmpl w:val="D348EDE4"/>
    <w:lvl w:ilvl="0" w:tplc="D00E44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E0CDC"/>
    <w:multiLevelType w:val="hybridMultilevel"/>
    <w:tmpl w:val="F14A6C10"/>
    <w:lvl w:ilvl="0" w:tplc="F35805E6">
      <w:start w:val="5"/>
      <w:numFmt w:val="bullet"/>
      <w:lvlText w:val="­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7574A"/>
    <w:multiLevelType w:val="hybridMultilevel"/>
    <w:tmpl w:val="F9F25EE6"/>
    <w:lvl w:ilvl="0" w:tplc="BA0E4D5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379C6"/>
    <w:multiLevelType w:val="multilevel"/>
    <w:tmpl w:val="5B04467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10" w15:restartNumberingAfterBreak="0">
    <w:nsid w:val="6B486E43"/>
    <w:multiLevelType w:val="hybridMultilevel"/>
    <w:tmpl w:val="B5309814"/>
    <w:lvl w:ilvl="0" w:tplc="441A28BA">
      <w:start w:val="1"/>
      <w:numFmt w:val="none"/>
      <w:lvlText w:val="7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3C6F09"/>
    <w:multiLevelType w:val="hybridMultilevel"/>
    <w:tmpl w:val="1B1C43F8"/>
    <w:lvl w:ilvl="0" w:tplc="DA1C1A4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D53E655A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 w:tplc="7C929128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3" w:tplc="6A18975E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2E1E5F"/>
    <w:multiLevelType w:val="hybridMultilevel"/>
    <w:tmpl w:val="A7502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051F2"/>
    <w:multiLevelType w:val="hybridMultilevel"/>
    <w:tmpl w:val="40600A50"/>
    <w:lvl w:ilvl="0" w:tplc="AFE09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74DB14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6E3CE0"/>
    <w:multiLevelType w:val="hybridMultilevel"/>
    <w:tmpl w:val="1626207C"/>
    <w:lvl w:ilvl="0" w:tplc="559A57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2C7192"/>
    <w:multiLevelType w:val="hybridMultilevel"/>
    <w:tmpl w:val="F14A6C10"/>
    <w:lvl w:ilvl="0" w:tplc="2F2AB9F2">
      <w:start w:val="5"/>
      <w:numFmt w:val="bullet"/>
      <w:lvlText w:val="­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ED4B85"/>
    <w:multiLevelType w:val="hybridMultilevel"/>
    <w:tmpl w:val="40185ADE"/>
    <w:lvl w:ilvl="0" w:tplc="559A57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4C37E5"/>
    <w:multiLevelType w:val="hybridMultilevel"/>
    <w:tmpl w:val="81AE7600"/>
    <w:lvl w:ilvl="0" w:tplc="47E4691C">
      <w:start w:val="5"/>
      <w:numFmt w:val="bullet"/>
      <w:lvlText w:val="­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3709C4"/>
    <w:multiLevelType w:val="hybridMultilevel"/>
    <w:tmpl w:val="9B0A5E56"/>
    <w:lvl w:ilvl="0" w:tplc="10CCB68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537E4"/>
    <w:multiLevelType w:val="hybridMultilevel"/>
    <w:tmpl w:val="D56E6124"/>
    <w:lvl w:ilvl="0" w:tplc="10CCB68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3"/>
  </w:num>
  <w:num w:numId="4">
    <w:abstractNumId w:val="10"/>
  </w:num>
  <w:num w:numId="5">
    <w:abstractNumId w:val="3"/>
  </w:num>
  <w:num w:numId="6">
    <w:abstractNumId w:val="1"/>
  </w:num>
  <w:num w:numId="7">
    <w:abstractNumId w:val="17"/>
  </w:num>
  <w:num w:numId="8">
    <w:abstractNumId w:val="5"/>
  </w:num>
  <w:num w:numId="9">
    <w:abstractNumId w:val="6"/>
  </w:num>
  <w:num w:numId="10">
    <w:abstractNumId w:val="7"/>
  </w:num>
  <w:num w:numId="11">
    <w:abstractNumId w:val="15"/>
  </w:num>
  <w:num w:numId="12">
    <w:abstractNumId w:val="4"/>
  </w:num>
  <w:num w:numId="13">
    <w:abstractNumId w:val="2"/>
  </w:num>
  <w:num w:numId="14">
    <w:abstractNumId w:val="16"/>
  </w:num>
  <w:num w:numId="15">
    <w:abstractNumId w:val="14"/>
  </w:num>
  <w:num w:numId="16">
    <w:abstractNumId w:val="11"/>
  </w:num>
  <w:num w:numId="17">
    <w:abstractNumId w:val="8"/>
  </w:num>
  <w:num w:numId="18">
    <w:abstractNumId w:val="12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99"/>
    <w:rsid w:val="00001666"/>
    <w:rsid w:val="00003BE9"/>
    <w:rsid w:val="000878CC"/>
    <w:rsid w:val="000932D9"/>
    <w:rsid w:val="000B4735"/>
    <w:rsid w:val="000D20EB"/>
    <w:rsid w:val="000D689A"/>
    <w:rsid w:val="000E7EB7"/>
    <w:rsid w:val="00106ECF"/>
    <w:rsid w:val="00115960"/>
    <w:rsid w:val="001527D6"/>
    <w:rsid w:val="001B229A"/>
    <w:rsid w:val="001B54A4"/>
    <w:rsid w:val="001D3CA7"/>
    <w:rsid w:val="001E50F9"/>
    <w:rsid w:val="00207059"/>
    <w:rsid w:val="00234488"/>
    <w:rsid w:val="00255490"/>
    <w:rsid w:val="00285094"/>
    <w:rsid w:val="002E61E7"/>
    <w:rsid w:val="00311DC0"/>
    <w:rsid w:val="00322BC8"/>
    <w:rsid w:val="00346E3C"/>
    <w:rsid w:val="00391F9B"/>
    <w:rsid w:val="003B239A"/>
    <w:rsid w:val="003E6658"/>
    <w:rsid w:val="004058AC"/>
    <w:rsid w:val="00441C45"/>
    <w:rsid w:val="004542F4"/>
    <w:rsid w:val="00456D9B"/>
    <w:rsid w:val="00487BED"/>
    <w:rsid w:val="004E7522"/>
    <w:rsid w:val="004F037E"/>
    <w:rsid w:val="005A2460"/>
    <w:rsid w:val="005B25CA"/>
    <w:rsid w:val="005B5DF4"/>
    <w:rsid w:val="005E694D"/>
    <w:rsid w:val="0063431F"/>
    <w:rsid w:val="006B3E39"/>
    <w:rsid w:val="006C256A"/>
    <w:rsid w:val="006D4A50"/>
    <w:rsid w:val="006E5146"/>
    <w:rsid w:val="00761C2B"/>
    <w:rsid w:val="007643FD"/>
    <w:rsid w:val="0077502A"/>
    <w:rsid w:val="0079281C"/>
    <w:rsid w:val="007A46DB"/>
    <w:rsid w:val="007B746D"/>
    <w:rsid w:val="00812C64"/>
    <w:rsid w:val="008306C0"/>
    <w:rsid w:val="0085623E"/>
    <w:rsid w:val="00857117"/>
    <w:rsid w:val="008666DC"/>
    <w:rsid w:val="00871A2B"/>
    <w:rsid w:val="008A6498"/>
    <w:rsid w:val="0094111D"/>
    <w:rsid w:val="00993735"/>
    <w:rsid w:val="009A0810"/>
    <w:rsid w:val="009B523D"/>
    <w:rsid w:val="009F7292"/>
    <w:rsid w:val="00AA79A3"/>
    <w:rsid w:val="00AF40DF"/>
    <w:rsid w:val="00B35BFC"/>
    <w:rsid w:val="00B60320"/>
    <w:rsid w:val="00B70C3D"/>
    <w:rsid w:val="00B869DD"/>
    <w:rsid w:val="00BB0CCA"/>
    <w:rsid w:val="00BC05C6"/>
    <w:rsid w:val="00BC10A0"/>
    <w:rsid w:val="00BC33E8"/>
    <w:rsid w:val="00BE2464"/>
    <w:rsid w:val="00BF5AFF"/>
    <w:rsid w:val="00C703A7"/>
    <w:rsid w:val="00C825E3"/>
    <w:rsid w:val="00C95041"/>
    <w:rsid w:val="00CB6E0F"/>
    <w:rsid w:val="00CB6EC5"/>
    <w:rsid w:val="00CC64CB"/>
    <w:rsid w:val="00CD1183"/>
    <w:rsid w:val="00CF271E"/>
    <w:rsid w:val="00D37231"/>
    <w:rsid w:val="00D620A8"/>
    <w:rsid w:val="00DB1369"/>
    <w:rsid w:val="00DE0388"/>
    <w:rsid w:val="00E0173C"/>
    <w:rsid w:val="00E54810"/>
    <w:rsid w:val="00E55D79"/>
    <w:rsid w:val="00EC2C20"/>
    <w:rsid w:val="00ED6342"/>
    <w:rsid w:val="00F17F38"/>
    <w:rsid w:val="00F2341F"/>
    <w:rsid w:val="00F252AC"/>
    <w:rsid w:val="00F33F99"/>
    <w:rsid w:val="00F47B7B"/>
    <w:rsid w:val="00F5551A"/>
    <w:rsid w:val="00F57BFE"/>
    <w:rsid w:val="00FB0493"/>
    <w:rsid w:val="00FF2667"/>
    <w:rsid w:val="00FF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1ECCF6CE"/>
  <w15:chartTrackingRefBased/>
  <w15:docId w15:val="{3896FD3E-250E-4C91-AB8B-7BA3DE4F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Calibri" w:hAnsi="Calibri" w:cs="Tahoma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ind w:left="851" w:right="2239"/>
      <w:jc w:val="center"/>
    </w:pPr>
    <w:rPr>
      <w:rFonts w:ascii="Arial" w:hAnsi="Arial"/>
      <w:b/>
      <w:i/>
      <w:sz w:val="22"/>
      <w:szCs w:val="20"/>
    </w:rPr>
  </w:style>
  <w:style w:type="paragraph" w:styleId="Tekstblokowy">
    <w:name w:val="Block Text"/>
    <w:basedOn w:val="Normalny"/>
    <w:semiHidden/>
    <w:pPr>
      <w:ind w:left="851" w:right="2239"/>
      <w:jc w:val="both"/>
    </w:pPr>
    <w:rPr>
      <w:rFonts w:ascii="Arial Narrow" w:hAnsi="Arial Narrow"/>
      <w:sz w:val="20"/>
      <w:szCs w:val="20"/>
    </w:rPr>
  </w:style>
  <w:style w:type="character" w:styleId="Hipercze">
    <w:name w:val="Hyperlink"/>
    <w:semiHidden/>
    <w:rPr>
      <w:color w:val="0000FF"/>
      <w:u w:val="single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semiHidden/>
    <w:pPr>
      <w:tabs>
        <w:tab w:val="left" w:pos="13860"/>
      </w:tabs>
      <w:ind w:right="144"/>
      <w:jc w:val="both"/>
    </w:pPr>
    <w:rPr>
      <w:rFonts w:ascii="Tahoma" w:hAnsi="Tahoma" w:cs="Tahoma"/>
      <w:b/>
      <w:bCs/>
      <w:sz w:val="20"/>
    </w:rPr>
  </w:style>
  <w:style w:type="paragraph" w:styleId="Tekstpodstawowy2">
    <w:name w:val="Body Text 2"/>
    <w:basedOn w:val="Normalny"/>
    <w:semiHidden/>
    <w:pPr>
      <w:tabs>
        <w:tab w:val="left" w:pos="13860"/>
      </w:tabs>
      <w:ind w:right="144"/>
      <w:jc w:val="both"/>
    </w:pPr>
    <w:rPr>
      <w:rFonts w:ascii="Tahoma" w:hAnsi="Tahoma" w:cs="Tahoma"/>
      <w:sz w:val="20"/>
    </w:rPr>
  </w:style>
  <w:style w:type="paragraph" w:styleId="Tekstpodstawowywcity">
    <w:name w:val="Body Text Indent"/>
    <w:basedOn w:val="Normalny"/>
    <w:semiHidden/>
    <w:pPr>
      <w:ind w:left="360" w:hanging="360"/>
      <w:jc w:val="both"/>
    </w:pPr>
    <w:rPr>
      <w:rFonts w:ascii="Calibri" w:hAnsi="Calibri" w:cs="Arial"/>
    </w:rPr>
  </w:style>
  <w:style w:type="paragraph" w:styleId="Tekstpodstawowy3">
    <w:name w:val="Body Text 3"/>
    <w:basedOn w:val="Normalny"/>
    <w:semiHidden/>
    <w:pPr>
      <w:tabs>
        <w:tab w:val="left" w:pos="13860"/>
      </w:tabs>
      <w:ind w:right="144"/>
      <w:jc w:val="both"/>
    </w:pPr>
    <w:rPr>
      <w:rFonts w:ascii="Calibri" w:hAnsi="Calibri" w:cs="Tahoma"/>
      <w:bCs/>
      <w:sz w:val="22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59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15960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0932D9"/>
  </w:style>
  <w:style w:type="paragraph" w:styleId="Akapitzlist">
    <w:name w:val="List Paragraph"/>
    <w:basedOn w:val="Normalny"/>
    <w:uiPriority w:val="34"/>
    <w:qFormat/>
    <w:rsid w:val="00F252AC"/>
    <w:pPr>
      <w:spacing w:line="259" w:lineRule="auto"/>
      <w:ind w:left="720"/>
      <w:contextualSpacing/>
    </w:pPr>
    <w:rPr>
      <w:rFonts w:ascii="Segoe UI" w:eastAsia="Calibri" w:hAnsi="Segoe UI" w:cs="Segoe UI"/>
      <w:sz w:val="22"/>
      <w:szCs w:val="22"/>
      <w:lang w:eastAsia="en-US"/>
    </w:rPr>
  </w:style>
  <w:style w:type="paragraph" w:customStyle="1" w:styleId="tresc">
    <w:name w:val="tresc"/>
    <w:basedOn w:val="Normalny"/>
    <w:rsid w:val="007A46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1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koszalin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koszalin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odo@um.koszali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m.koszalin@um.koszali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1329</Words>
  <Characters>8980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R E Z Y D E N T   M I A S T A   K O S Z A L I N A</vt:lpstr>
    </vt:vector>
  </TitlesOfParts>
  <Company>Urząd Miejski w Koszalinie</Company>
  <LinksUpToDate>false</LinksUpToDate>
  <CharactersWithSpaces>10289</CharactersWithSpaces>
  <SharedDoc>false</SharedDoc>
  <HLinks>
    <vt:vector size="12" baseType="variant">
      <vt:variant>
        <vt:i4>7012393</vt:i4>
      </vt:variant>
      <vt:variant>
        <vt:i4>3</vt:i4>
      </vt:variant>
      <vt:variant>
        <vt:i4>0</vt:i4>
      </vt:variant>
      <vt:variant>
        <vt:i4>5</vt:i4>
      </vt:variant>
      <vt:variant>
        <vt:lpwstr>http://bip.koszalin.pl/</vt:lpwstr>
      </vt:variant>
      <vt:variant>
        <vt:lpwstr/>
      </vt:variant>
      <vt:variant>
        <vt:i4>7929911</vt:i4>
      </vt:variant>
      <vt:variant>
        <vt:i4>0</vt:i4>
      </vt:variant>
      <vt:variant>
        <vt:i4>0</vt:i4>
      </vt:variant>
      <vt:variant>
        <vt:i4>5</vt:i4>
      </vt:variant>
      <vt:variant>
        <vt:lpwstr>http://www.koszalin.pl/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E Z Y D E N T   M I A S T A   K O S Z A L I N A</dc:title>
  <dc:subject/>
  <dc:creator>Lenartowicz</dc:creator>
  <cp:keywords/>
  <dc:description/>
  <cp:lastModifiedBy>Joanna Ostaszewska</cp:lastModifiedBy>
  <cp:revision>6</cp:revision>
  <cp:lastPrinted>2021-04-15T08:15:00Z</cp:lastPrinted>
  <dcterms:created xsi:type="dcterms:W3CDTF">2022-06-24T08:55:00Z</dcterms:created>
  <dcterms:modified xsi:type="dcterms:W3CDTF">2022-07-29T07:45:00Z</dcterms:modified>
</cp:coreProperties>
</file>