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0ABE" w14:textId="47866CCA" w:rsidR="00AF7190" w:rsidRPr="00B66479" w:rsidRDefault="00AF7190" w:rsidP="006F1C60">
      <w:pPr>
        <w:pStyle w:val="Tytu"/>
        <w:jc w:val="center"/>
        <w:rPr>
          <w:rFonts w:ascii="Calibri" w:hAnsi="Calibri" w:cs="Calibri"/>
          <w:sz w:val="22"/>
          <w:szCs w:val="22"/>
        </w:rPr>
      </w:pPr>
    </w:p>
    <w:p w14:paraId="35B9F3F7" w14:textId="77777777" w:rsidR="00AF7190" w:rsidRPr="00B66479" w:rsidRDefault="00AF7190" w:rsidP="006F1C60">
      <w:pPr>
        <w:pStyle w:val="Tytu"/>
        <w:jc w:val="center"/>
        <w:rPr>
          <w:rFonts w:ascii="Calibri" w:hAnsi="Calibri" w:cs="Calibri"/>
          <w:sz w:val="22"/>
          <w:szCs w:val="22"/>
        </w:rPr>
      </w:pPr>
    </w:p>
    <w:p w14:paraId="39D11582" w14:textId="77777777" w:rsidR="00AF7190" w:rsidRPr="00B66479" w:rsidRDefault="00AF7190" w:rsidP="006F1C60">
      <w:pPr>
        <w:pStyle w:val="Tytu"/>
        <w:jc w:val="center"/>
        <w:rPr>
          <w:rFonts w:ascii="Calibri" w:hAnsi="Calibri" w:cs="Calibri"/>
          <w:sz w:val="22"/>
          <w:szCs w:val="22"/>
        </w:rPr>
      </w:pPr>
    </w:p>
    <w:p w14:paraId="253300B5" w14:textId="77777777" w:rsidR="00AF7190" w:rsidRPr="00B66479" w:rsidRDefault="00AF7190" w:rsidP="006F1C60">
      <w:pPr>
        <w:pStyle w:val="Tytu"/>
        <w:jc w:val="center"/>
        <w:rPr>
          <w:rFonts w:ascii="Calibri" w:hAnsi="Calibri" w:cs="Calibri"/>
          <w:sz w:val="22"/>
          <w:szCs w:val="22"/>
        </w:rPr>
      </w:pPr>
    </w:p>
    <w:p w14:paraId="30AEE97C" w14:textId="77777777" w:rsidR="00AF7190" w:rsidRPr="00B66479" w:rsidRDefault="00AF7190" w:rsidP="00AF719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AF7190" w:rsidRPr="00B66479" w14:paraId="50C0CEB9" w14:textId="77777777" w:rsidTr="00074647">
        <w:trPr>
          <w:cantSplit/>
          <w:trHeight w:hRule="exact"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009B2" w14:textId="77777777" w:rsidR="00AF7190" w:rsidRPr="00B66479" w:rsidRDefault="00AF7190" w:rsidP="00AF7190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190" w:rsidRPr="00B66479" w14:paraId="00FC09F7" w14:textId="77777777" w:rsidTr="00074647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77FFA" w14:textId="77777777" w:rsidR="00AF7190" w:rsidRPr="00B66479" w:rsidRDefault="00AF7190" w:rsidP="00AF7190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73855B74" w14:textId="1E3F7B8A" w:rsidR="00AF7190" w:rsidRPr="00B66479" w:rsidRDefault="00AF7190" w:rsidP="00AF7190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ZAŁĄCZNIK NR </w:t>
            </w:r>
            <w:r w:rsidR="00C71B09"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>10</w:t>
            </w:r>
          </w:p>
          <w:p w14:paraId="053F86F6" w14:textId="5F52603C" w:rsidR="00AF7190" w:rsidRPr="00B66479" w:rsidRDefault="00617F20" w:rsidP="00AF7190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>DO UMOWY O PARTNERSTWIE PUBLICZNO-PRYWATNYM NA MODERNIZACJĘ ENERGETYCZNĄ BUDYNKÓW UŻYTECZNOŚCI PUBLICZNEJ W GMINIE MIASTO KOSZALIN</w:t>
            </w:r>
          </w:p>
          <w:p w14:paraId="71293446" w14:textId="0473322E" w:rsidR="00AF7190" w:rsidRPr="00B66479" w:rsidRDefault="00AF7190" w:rsidP="00AF7190">
            <w:pPr>
              <w:tabs>
                <w:tab w:val="left" w:pos="2694"/>
              </w:tabs>
              <w:spacing w:after="210"/>
              <w:ind w:left="2694" w:hanging="2552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>PT. "</w:t>
            </w:r>
            <w:r w:rsidR="00D02820"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WYMAGANIA PRZY ZWROCIE </w:t>
            </w:r>
            <w:r w:rsidRPr="00B66479">
              <w:rPr>
                <w:rFonts w:ascii="Calibri" w:hAnsi="Calibri" w:cs="Calibri"/>
                <w:b/>
                <w:smallCaps/>
                <w:sz w:val="22"/>
                <w:szCs w:val="22"/>
              </w:rPr>
              <w:t>"</w:t>
            </w:r>
          </w:p>
          <w:p w14:paraId="54C76860" w14:textId="77777777" w:rsidR="00AF7190" w:rsidRPr="00B66479" w:rsidRDefault="00AF7190" w:rsidP="00AF7190">
            <w:pPr>
              <w:spacing w:after="21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AF7190" w:rsidRPr="00B66479" w14:paraId="69F94FE7" w14:textId="77777777" w:rsidTr="00074647">
        <w:trPr>
          <w:trHeight w:hRule="exact" w:val="850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6E919" w14:textId="77777777" w:rsidR="00AF7190" w:rsidRPr="00B66479" w:rsidRDefault="00AF7190" w:rsidP="00AF7190">
            <w:pPr>
              <w:spacing w:after="2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7190" w:rsidRPr="00617F20" w14:paraId="400C7925" w14:textId="77777777" w:rsidTr="00074647">
        <w:trPr>
          <w:trHeight w:val="567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44D6" w14:textId="77777777" w:rsidR="00AF7190" w:rsidRPr="00AF7190" w:rsidRDefault="00AF7190" w:rsidP="00AF7190">
            <w:pPr>
              <w:spacing w:after="210"/>
              <w:jc w:val="center"/>
              <w:rPr>
                <w:rFonts w:cs="Arial"/>
              </w:rPr>
            </w:pPr>
          </w:p>
        </w:tc>
      </w:tr>
    </w:tbl>
    <w:p w14:paraId="39904B25" w14:textId="77777777" w:rsidR="00AF7190" w:rsidRDefault="00AF7190" w:rsidP="006F1C60">
      <w:pPr>
        <w:pStyle w:val="Tytu"/>
        <w:jc w:val="center"/>
        <w:rPr>
          <w:rFonts w:cs="Arial"/>
          <w:szCs w:val="21"/>
        </w:rPr>
      </w:pPr>
    </w:p>
    <w:p w14:paraId="6F9FA7F3" w14:textId="77777777" w:rsidR="00AF7190" w:rsidRDefault="00AF7190" w:rsidP="006F1C60">
      <w:pPr>
        <w:pStyle w:val="Tytu"/>
        <w:jc w:val="center"/>
        <w:rPr>
          <w:rFonts w:cs="Arial"/>
          <w:szCs w:val="21"/>
        </w:rPr>
      </w:pPr>
    </w:p>
    <w:p w14:paraId="5AFB097D" w14:textId="77777777" w:rsidR="006F1C60" w:rsidRPr="00893767" w:rsidRDefault="006F1C60" w:rsidP="006F1C60">
      <w:pPr>
        <w:spacing w:after="210"/>
        <w:contextualSpacing/>
        <w:jc w:val="center"/>
        <w:rPr>
          <w:rFonts w:cs="Arial"/>
          <w:b/>
        </w:rPr>
      </w:pPr>
    </w:p>
    <w:p w14:paraId="6BA7F61F" w14:textId="77777777" w:rsidR="006F1C60" w:rsidRPr="007042CF" w:rsidRDefault="006F1C60" w:rsidP="006F1C60">
      <w:pPr>
        <w:spacing w:after="210"/>
        <w:contextualSpacing/>
        <w:jc w:val="center"/>
        <w:rPr>
          <w:rFonts w:cs="Arial"/>
        </w:rPr>
      </w:pPr>
    </w:p>
    <w:p w14:paraId="2599EAD1" w14:textId="77777777" w:rsidR="00AF7190" w:rsidRDefault="00AF7190" w:rsidP="006F1C60">
      <w:pPr>
        <w:rPr>
          <w:rFonts w:cs="Arial"/>
          <w:b/>
          <w:u w:val="single"/>
        </w:rPr>
        <w:sectPr w:rsidR="00AF7190" w:rsidSect="0061291F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40A0CA05" w14:textId="2DB3DEB1" w:rsidR="006F1C60" w:rsidRPr="0022771F" w:rsidRDefault="00302018" w:rsidP="006F1C60">
      <w:pPr>
        <w:pStyle w:val="Nagwek1"/>
        <w:rPr>
          <w:rFonts w:asciiTheme="minorHAnsi" w:hAnsiTheme="minorHAnsi" w:cstheme="minorHAnsi"/>
          <w:sz w:val="20"/>
          <w:szCs w:val="20"/>
        </w:rPr>
      </w:pPr>
      <w:bookmarkStart w:id="0" w:name="_Toc498382505"/>
      <w:r w:rsidRPr="00302018">
        <w:rPr>
          <w:rFonts w:asciiTheme="minorHAnsi" w:hAnsiTheme="minorHAnsi" w:cstheme="minorHAnsi"/>
          <w:smallCaps w:val="0"/>
          <w:sz w:val="20"/>
          <w:szCs w:val="20"/>
        </w:rPr>
        <w:lastRenderedPageBreak/>
        <w:t>Zwrot Obiektów w Dacie Zakończenia Umowy</w:t>
      </w:r>
    </w:p>
    <w:p w14:paraId="737305FE" w14:textId="77777777" w:rsidR="006F1C60" w:rsidRPr="0022771F" w:rsidRDefault="006F1C60" w:rsidP="006F1C60">
      <w:pPr>
        <w:pStyle w:val="Level2"/>
        <w:tabs>
          <w:tab w:val="clear" w:pos="3261"/>
        </w:tabs>
        <w:ind w:left="709"/>
        <w:rPr>
          <w:rFonts w:asciiTheme="minorHAnsi" w:hAnsiTheme="minorHAnsi" w:cstheme="minorHAnsi"/>
          <w:b/>
          <w:sz w:val="20"/>
          <w:szCs w:val="20"/>
        </w:rPr>
      </w:pPr>
      <w:r w:rsidRPr="0022771F">
        <w:rPr>
          <w:rFonts w:asciiTheme="minorHAnsi" w:hAnsiTheme="minorHAnsi" w:cstheme="minorHAnsi"/>
          <w:b/>
          <w:sz w:val="20"/>
          <w:szCs w:val="20"/>
        </w:rPr>
        <w:t>Wymogi</w:t>
      </w:r>
      <w:bookmarkEnd w:id="0"/>
    </w:p>
    <w:p w14:paraId="1EB9DBDC" w14:textId="20705BB7" w:rsidR="006F1C60" w:rsidRPr="0022771F" w:rsidRDefault="00A458EC" w:rsidP="006F1C60">
      <w:pPr>
        <w:pStyle w:val="Body2"/>
        <w:rPr>
          <w:rFonts w:asciiTheme="minorHAnsi" w:hAnsiTheme="minorHAnsi" w:cstheme="minorHAnsi"/>
          <w:b/>
          <w:bCs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y</w:t>
      </w:r>
      <w:r w:rsidR="006F1C60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>zostan</w:t>
      </w:r>
      <w:r w:rsidR="00617F20" w:rsidRPr="0022771F">
        <w:rPr>
          <w:rFonts w:asciiTheme="minorHAnsi" w:hAnsiTheme="minorHAnsi" w:cstheme="minorHAnsi"/>
          <w:sz w:val="20"/>
          <w:szCs w:val="20"/>
        </w:rPr>
        <w:t>ą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617F20" w:rsidRPr="0022771F">
        <w:rPr>
          <w:rFonts w:asciiTheme="minorHAnsi" w:hAnsiTheme="minorHAnsi" w:cstheme="minorHAnsi"/>
          <w:sz w:val="20"/>
          <w:szCs w:val="20"/>
        </w:rPr>
        <w:t>przekazane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6F1C60" w:rsidRPr="0022771F">
        <w:rPr>
          <w:rFonts w:asciiTheme="minorHAnsi" w:hAnsiTheme="minorHAnsi" w:cstheme="minorHAnsi"/>
          <w:sz w:val="20"/>
          <w:szCs w:val="20"/>
        </w:rPr>
        <w:t xml:space="preserve">w stanie technicznym spełniającym wymagania określone w </w:t>
      </w:r>
      <w:r w:rsidR="006F1C60"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 w:rsidRPr="0022771F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6F1C60"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5D9B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9F5D9B"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tandardy </w:t>
      </w:r>
      <w:r w:rsidR="003B7A9E" w:rsidRPr="0022771F">
        <w:rPr>
          <w:rFonts w:asciiTheme="minorHAnsi" w:hAnsiTheme="minorHAnsi" w:cstheme="minorHAnsi"/>
          <w:b/>
          <w:bCs/>
          <w:sz w:val="20"/>
          <w:szCs w:val="20"/>
        </w:rPr>
        <w:t>Dostępności Obiektów</w:t>
      </w:r>
      <w:r w:rsidR="00796133"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96133" w:rsidRPr="0022771F">
        <w:rPr>
          <w:rFonts w:asciiTheme="minorHAnsi" w:hAnsiTheme="minorHAnsi" w:cstheme="minorHAnsi"/>
          <w:sz w:val="20"/>
          <w:szCs w:val="20"/>
        </w:rPr>
        <w:t>z uwzględnieniem Normatywnego Zużycia Obiektu.</w:t>
      </w:r>
    </w:p>
    <w:p w14:paraId="5B3440B1" w14:textId="77777777" w:rsidR="006F1C60" w:rsidRPr="0022771F" w:rsidRDefault="006F1C60" w:rsidP="006F1C60">
      <w:pPr>
        <w:pStyle w:val="Level2"/>
        <w:tabs>
          <w:tab w:val="clear" w:pos="3261"/>
        </w:tabs>
        <w:ind w:left="709"/>
        <w:rPr>
          <w:rFonts w:asciiTheme="minorHAnsi" w:hAnsiTheme="minorHAnsi" w:cstheme="minorHAnsi"/>
          <w:b/>
          <w:sz w:val="20"/>
          <w:szCs w:val="20"/>
        </w:rPr>
      </w:pPr>
      <w:r w:rsidRPr="0022771F">
        <w:rPr>
          <w:rFonts w:asciiTheme="minorHAnsi" w:hAnsiTheme="minorHAnsi" w:cstheme="minorHAnsi"/>
          <w:b/>
          <w:sz w:val="20"/>
          <w:szCs w:val="20"/>
        </w:rPr>
        <w:t>Procedura</w:t>
      </w:r>
      <w:r w:rsidR="00F8380E" w:rsidRPr="0022771F">
        <w:rPr>
          <w:rFonts w:asciiTheme="minorHAnsi" w:hAnsiTheme="minorHAnsi" w:cstheme="minorHAnsi"/>
          <w:b/>
          <w:sz w:val="20"/>
          <w:szCs w:val="20"/>
        </w:rPr>
        <w:t xml:space="preserve"> zwrotu</w:t>
      </w:r>
    </w:p>
    <w:p w14:paraId="7EA2A1DC" w14:textId="6F7AEF42" w:rsidR="006F1C60" w:rsidRPr="0022771F" w:rsidRDefault="006F1C60" w:rsidP="006F1C60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045FCC">
        <w:rPr>
          <w:rFonts w:asciiTheme="minorHAnsi" w:hAnsiTheme="minorHAnsi" w:cstheme="minorHAnsi"/>
          <w:sz w:val="20"/>
          <w:szCs w:val="20"/>
        </w:rPr>
        <w:t>dwunastu (</w:t>
      </w:r>
      <w:r w:rsidRPr="0022771F">
        <w:rPr>
          <w:rFonts w:asciiTheme="minorHAnsi" w:hAnsiTheme="minorHAnsi" w:cstheme="minorHAnsi"/>
          <w:sz w:val="20"/>
          <w:szCs w:val="20"/>
        </w:rPr>
        <w:t>12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Pr="0022771F">
        <w:rPr>
          <w:rFonts w:asciiTheme="minorHAnsi" w:hAnsiTheme="minorHAnsi" w:cstheme="minorHAnsi"/>
          <w:sz w:val="20"/>
          <w:szCs w:val="20"/>
        </w:rPr>
        <w:t xml:space="preserve"> miesięcy przed upływem Okresu Umowy Partner Prywatny i Podmiot Publiczny przeprowadzą wspólną kontrolę </w:t>
      </w:r>
      <w:r w:rsidR="007F3207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w celu określenia prac, których wykonanie będzie konieczne w celu zapewnienia, że </w:t>
      </w:r>
      <w:r w:rsidR="007F3207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y</w:t>
      </w:r>
      <w:r w:rsidRPr="0022771F">
        <w:rPr>
          <w:rFonts w:asciiTheme="minorHAnsi" w:hAnsiTheme="minorHAnsi" w:cstheme="minorHAnsi"/>
          <w:sz w:val="20"/>
          <w:szCs w:val="20"/>
        </w:rPr>
        <w:t xml:space="preserve"> bę</w:t>
      </w:r>
      <w:r w:rsidR="007F3207" w:rsidRPr="0022771F">
        <w:rPr>
          <w:rFonts w:asciiTheme="minorHAnsi" w:hAnsiTheme="minorHAnsi" w:cstheme="minorHAnsi"/>
          <w:sz w:val="20"/>
          <w:szCs w:val="20"/>
        </w:rPr>
        <w:t>d</w:t>
      </w:r>
      <w:r w:rsidR="00617F20" w:rsidRPr="0022771F">
        <w:rPr>
          <w:rFonts w:asciiTheme="minorHAnsi" w:hAnsiTheme="minorHAnsi" w:cstheme="minorHAnsi"/>
          <w:sz w:val="20"/>
          <w:szCs w:val="20"/>
        </w:rPr>
        <w:t>ą</w:t>
      </w:r>
      <w:r w:rsidRPr="0022771F">
        <w:rPr>
          <w:rFonts w:asciiTheme="minorHAnsi" w:hAnsiTheme="minorHAnsi" w:cstheme="minorHAnsi"/>
          <w:sz w:val="20"/>
          <w:szCs w:val="20"/>
        </w:rPr>
        <w:t xml:space="preserve"> spełniać w Dacie </w:t>
      </w:r>
      <w:r w:rsidR="007F3207" w:rsidRPr="0022771F">
        <w:rPr>
          <w:rFonts w:asciiTheme="minorHAnsi" w:hAnsiTheme="minorHAnsi" w:cstheme="minorHAnsi"/>
          <w:sz w:val="20"/>
          <w:szCs w:val="20"/>
        </w:rPr>
        <w:t xml:space="preserve">Zakończenia </w:t>
      </w:r>
      <w:r w:rsidR="00D759B8" w:rsidRPr="0022771F">
        <w:rPr>
          <w:rFonts w:asciiTheme="minorHAnsi" w:hAnsiTheme="minorHAnsi" w:cstheme="minorHAnsi"/>
          <w:sz w:val="20"/>
          <w:szCs w:val="20"/>
        </w:rPr>
        <w:t>U</w:t>
      </w:r>
      <w:r w:rsidR="007F3207" w:rsidRPr="0022771F">
        <w:rPr>
          <w:rFonts w:asciiTheme="minorHAnsi" w:hAnsiTheme="minorHAnsi" w:cstheme="minorHAnsi"/>
          <w:sz w:val="20"/>
          <w:szCs w:val="20"/>
        </w:rPr>
        <w:t>mowy</w:t>
      </w:r>
      <w:r w:rsidRPr="0022771F">
        <w:rPr>
          <w:rFonts w:asciiTheme="minorHAnsi" w:hAnsiTheme="minorHAnsi" w:cstheme="minorHAnsi"/>
          <w:sz w:val="20"/>
          <w:szCs w:val="20"/>
        </w:rPr>
        <w:t xml:space="preserve"> wymagania wskazane w Punkcie 1</w:t>
      </w:r>
      <w:r w:rsidR="00F77962" w:rsidRPr="0022771F">
        <w:rPr>
          <w:rFonts w:asciiTheme="minorHAnsi" w:hAnsiTheme="minorHAnsi" w:cstheme="minorHAnsi"/>
          <w:sz w:val="20"/>
          <w:szCs w:val="20"/>
        </w:rPr>
        <w:t>.1</w:t>
      </w:r>
      <w:r w:rsidRPr="0022771F">
        <w:rPr>
          <w:rFonts w:asciiTheme="minorHAnsi" w:hAnsiTheme="minorHAnsi" w:cstheme="minorHAnsi"/>
          <w:sz w:val="20"/>
          <w:szCs w:val="20"/>
        </w:rPr>
        <w:t xml:space="preserve"> powyżej</w:t>
      </w:r>
      <w:r w:rsidR="00AF7190" w:rsidRPr="0022771F">
        <w:rPr>
          <w:rFonts w:asciiTheme="minorHAnsi" w:hAnsiTheme="minorHAnsi" w:cstheme="minorHAnsi"/>
          <w:sz w:val="20"/>
          <w:szCs w:val="20"/>
        </w:rPr>
        <w:t>;</w:t>
      </w:r>
      <w:bookmarkStart w:id="1" w:name="_GoBack"/>
      <w:bookmarkEnd w:id="1"/>
    </w:p>
    <w:p w14:paraId="402873C7" w14:textId="35939138" w:rsidR="006F1C60" w:rsidRPr="0022771F" w:rsidRDefault="006F1C60" w:rsidP="006F1C60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Partner Prywatny nie później niż w ciągu</w:t>
      </w:r>
      <w:r w:rsidR="00045FCC">
        <w:rPr>
          <w:rFonts w:asciiTheme="minorHAnsi" w:hAnsiTheme="minorHAnsi" w:cstheme="minorHAnsi"/>
          <w:sz w:val="20"/>
          <w:szCs w:val="20"/>
        </w:rPr>
        <w:t xml:space="preserve"> sześćdziesięciu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045FCC">
        <w:rPr>
          <w:rFonts w:asciiTheme="minorHAnsi" w:hAnsiTheme="minorHAnsi" w:cstheme="minorHAnsi"/>
          <w:sz w:val="20"/>
          <w:szCs w:val="20"/>
        </w:rPr>
        <w:t>(</w:t>
      </w:r>
      <w:r w:rsidRPr="0022771F">
        <w:rPr>
          <w:rFonts w:asciiTheme="minorHAnsi" w:hAnsiTheme="minorHAnsi" w:cstheme="minorHAnsi"/>
          <w:sz w:val="20"/>
          <w:szCs w:val="20"/>
        </w:rPr>
        <w:t>60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Pr="0022771F">
        <w:rPr>
          <w:rFonts w:asciiTheme="minorHAnsi" w:hAnsiTheme="minorHAnsi" w:cstheme="minorHAnsi"/>
          <w:sz w:val="20"/>
          <w:szCs w:val="20"/>
        </w:rPr>
        <w:t xml:space="preserve"> Dni po dokonaniu wspólnej kontroli, o której </w:t>
      </w:r>
      <w:r w:rsidR="005C37B7" w:rsidRPr="0022771F">
        <w:rPr>
          <w:rFonts w:asciiTheme="minorHAnsi" w:hAnsiTheme="minorHAnsi" w:cstheme="minorHAnsi"/>
          <w:sz w:val="20"/>
          <w:szCs w:val="20"/>
        </w:rPr>
        <w:t>mowa</w:t>
      </w:r>
      <w:r w:rsidR="009103B6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 xml:space="preserve">w Punkcie </w:t>
      </w:r>
      <w:r w:rsidR="00F77962" w:rsidRPr="0022771F">
        <w:rPr>
          <w:rFonts w:asciiTheme="minorHAnsi" w:hAnsiTheme="minorHAnsi" w:cstheme="minorHAnsi"/>
          <w:sz w:val="20"/>
          <w:szCs w:val="20"/>
        </w:rPr>
        <w:t>(a)</w:t>
      </w:r>
      <w:r w:rsidRPr="0022771F">
        <w:rPr>
          <w:rFonts w:asciiTheme="minorHAnsi" w:hAnsiTheme="minorHAnsi" w:cstheme="minorHAnsi"/>
          <w:sz w:val="20"/>
          <w:szCs w:val="20"/>
        </w:rPr>
        <w:t xml:space="preserve"> powyżej, określi zakres prac, które zdaniem Partnera Prywatnego powinny być przeprowadzone w celu zapewnienia, że </w:t>
      </w:r>
      <w:r w:rsidR="007F3207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y</w:t>
      </w:r>
      <w:r w:rsidRPr="0022771F">
        <w:rPr>
          <w:rFonts w:asciiTheme="minorHAnsi" w:hAnsiTheme="minorHAnsi" w:cstheme="minorHAnsi"/>
          <w:sz w:val="20"/>
          <w:szCs w:val="20"/>
        </w:rPr>
        <w:t xml:space="preserve"> b</w:t>
      </w:r>
      <w:r w:rsidR="007F3207" w:rsidRPr="0022771F">
        <w:rPr>
          <w:rFonts w:asciiTheme="minorHAnsi" w:hAnsiTheme="minorHAnsi" w:cstheme="minorHAnsi"/>
          <w:sz w:val="20"/>
          <w:szCs w:val="20"/>
        </w:rPr>
        <w:t>ęd</w:t>
      </w:r>
      <w:r w:rsidR="00617F20" w:rsidRPr="0022771F">
        <w:rPr>
          <w:rFonts w:asciiTheme="minorHAnsi" w:hAnsiTheme="minorHAnsi" w:cstheme="minorHAnsi"/>
          <w:sz w:val="20"/>
          <w:szCs w:val="20"/>
        </w:rPr>
        <w:t>ą</w:t>
      </w:r>
      <w:r w:rsidR="007F3207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 xml:space="preserve">spełniać w Dacie </w:t>
      </w:r>
      <w:r w:rsidR="007F3207" w:rsidRPr="0022771F">
        <w:rPr>
          <w:rFonts w:asciiTheme="minorHAnsi" w:hAnsiTheme="minorHAnsi" w:cstheme="minorHAnsi"/>
          <w:sz w:val="20"/>
          <w:szCs w:val="20"/>
        </w:rPr>
        <w:t>Zakończenia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E33843">
        <w:rPr>
          <w:rFonts w:asciiTheme="minorHAnsi" w:hAnsiTheme="minorHAnsi" w:cstheme="minorHAnsi"/>
          <w:sz w:val="20"/>
          <w:szCs w:val="20"/>
        </w:rPr>
        <w:t>U</w:t>
      </w:r>
      <w:r w:rsidR="007F3207" w:rsidRPr="0022771F">
        <w:rPr>
          <w:rFonts w:asciiTheme="minorHAnsi" w:hAnsiTheme="minorHAnsi" w:cstheme="minorHAnsi"/>
          <w:sz w:val="20"/>
          <w:szCs w:val="20"/>
        </w:rPr>
        <w:t xml:space="preserve">mowy </w:t>
      </w:r>
      <w:r w:rsidRPr="0022771F">
        <w:rPr>
          <w:rFonts w:asciiTheme="minorHAnsi" w:hAnsiTheme="minorHAnsi" w:cstheme="minorHAnsi"/>
          <w:sz w:val="20"/>
          <w:szCs w:val="20"/>
        </w:rPr>
        <w:t xml:space="preserve">wymagania wskazane w Punkcie </w:t>
      </w:r>
      <w:r w:rsidR="00902D1E" w:rsidRPr="0022771F">
        <w:rPr>
          <w:rFonts w:asciiTheme="minorHAnsi" w:hAnsiTheme="minorHAnsi" w:cstheme="minorHAnsi"/>
          <w:sz w:val="20"/>
          <w:szCs w:val="20"/>
        </w:rPr>
        <w:t>1.1 powyżej</w:t>
      </w:r>
      <w:r w:rsidRPr="0022771F">
        <w:rPr>
          <w:rFonts w:asciiTheme="minorHAnsi" w:hAnsiTheme="minorHAnsi" w:cstheme="minorHAnsi"/>
          <w:sz w:val="20"/>
          <w:szCs w:val="20"/>
        </w:rPr>
        <w:t>. Podmiot Publiczny w ciągu</w:t>
      </w:r>
      <w:r w:rsidR="00045FCC">
        <w:rPr>
          <w:rFonts w:asciiTheme="minorHAnsi" w:hAnsiTheme="minorHAnsi" w:cstheme="minorHAnsi"/>
          <w:sz w:val="20"/>
          <w:szCs w:val="20"/>
        </w:rPr>
        <w:t xml:space="preserve"> dwudziestu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045FCC">
        <w:rPr>
          <w:rFonts w:asciiTheme="minorHAnsi" w:hAnsiTheme="minorHAnsi" w:cstheme="minorHAnsi"/>
          <w:sz w:val="20"/>
          <w:szCs w:val="20"/>
        </w:rPr>
        <w:t>(</w:t>
      </w:r>
      <w:r w:rsidRPr="0022771F">
        <w:rPr>
          <w:rFonts w:asciiTheme="minorHAnsi" w:hAnsiTheme="minorHAnsi" w:cstheme="minorHAnsi"/>
          <w:sz w:val="20"/>
          <w:szCs w:val="20"/>
        </w:rPr>
        <w:t>20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Pr="0022771F">
        <w:rPr>
          <w:rFonts w:asciiTheme="minorHAnsi" w:hAnsiTheme="minorHAnsi" w:cstheme="minorHAnsi"/>
          <w:sz w:val="20"/>
          <w:szCs w:val="20"/>
        </w:rPr>
        <w:t xml:space="preserve"> Dni zatwierdzi </w:t>
      </w:r>
      <w:r w:rsidR="00F77962" w:rsidRPr="0022771F">
        <w:rPr>
          <w:rFonts w:asciiTheme="minorHAnsi" w:hAnsiTheme="minorHAnsi" w:cstheme="minorHAnsi"/>
          <w:sz w:val="20"/>
          <w:szCs w:val="20"/>
        </w:rPr>
        <w:t xml:space="preserve">zakres prac określony przez Partnera Prywatnego </w:t>
      </w:r>
      <w:r w:rsidRPr="0022771F">
        <w:rPr>
          <w:rFonts w:asciiTheme="minorHAnsi" w:hAnsiTheme="minorHAnsi" w:cstheme="minorHAnsi"/>
          <w:sz w:val="20"/>
          <w:szCs w:val="20"/>
        </w:rPr>
        <w:t xml:space="preserve">lub odmówi zatwierdzenia, podając uzasadnienie. </w:t>
      </w:r>
      <w:r w:rsidR="001C0AAE" w:rsidRPr="0022771F">
        <w:rPr>
          <w:rFonts w:asciiTheme="minorHAnsi" w:hAnsiTheme="minorHAnsi" w:cstheme="minorHAnsi"/>
          <w:sz w:val="20"/>
          <w:szCs w:val="20"/>
        </w:rPr>
        <w:t xml:space="preserve">Partner Prywatny w terminie </w:t>
      </w:r>
      <w:r w:rsidR="00045FCC">
        <w:rPr>
          <w:rFonts w:asciiTheme="minorHAnsi" w:hAnsiTheme="minorHAnsi" w:cstheme="minorHAnsi"/>
          <w:sz w:val="20"/>
          <w:szCs w:val="20"/>
        </w:rPr>
        <w:t>dziesięciu (</w:t>
      </w:r>
      <w:r w:rsidR="001C0AAE" w:rsidRPr="0022771F">
        <w:rPr>
          <w:rFonts w:asciiTheme="minorHAnsi" w:hAnsiTheme="minorHAnsi" w:cstheme="minorHAnsi"/>
          <w:sz w:val="20"/>
          <w:szCs w:val="20"/>
        </w:rPr>
        <w:t>10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="001C0AAE" w:rsidRPr="0022771F">
        <w:rPr>
          <w:rFonts w:asciiTheme="minorHAnsi" w:hAnsiTheme="minorHAnsi" w:cstheme="minorHAnsi"/>
          <w:sz w:val="20"/>
          <w:szCs w:val="20"/>
        </w:rPr>
        <w:t xml:space="preserve"> Dni wprowadzi zmiany w zakresie prac z uwzględnieniem uwag Podmiotu Publicznego. W przypadku sporu co do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1C0AAE" w:rsidRPr="0022771F">
        <w:rPr>
          <w:rFonts w:asciiTheme="minorHAnsi" w:hAnsiTheme="minorHAnsi" w:cstheme="minorHAnsi"/>
          <w:sz w:val="20"/>
          <w:szCs w:val="20"/>
        </w:rPr>
        <w:t>zakresu prac, każda ze Stron będzie uprawniona do skierowania sporu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 xml:space="preserve">co do takiego zakresu prac do rozstrzygnięcia zgodnie z Procedurą </w:t>
      </w:r>
      <w:r w:rsidR="002965CF" w:rsidRPr="0022771F">
        <w:rPr>
          <w:rFonts w:asciiTheme="minorHAnsi" w:hAnsiTheme="minorHAnsi" w:cstheme="minorHAnsi"/>
          <w:sz w:val="20"/>
          <w:szCs w:val="20"/>
        </w:rPr>
        <w:t>R</w:t>
      </w:r>
      <w:r w:rsidR="002965CF">
        <w:rPr>
          <w:rFonts w:asciiTheme="minorHAnsi" w:hAnsiTheme="minorHAnsi" w:cstheme="minorHAnsi"/>
          <w:sz w:val="20"/>
          <w:szCs w:val="20"/>
        </w:rPr>
        <w:t xml:space="preserve">ozstrzygania </w:t>
      </w:r>
      <w:r w:rsidRPr="0022771F">
        <w:rPr>
          <w:rFonts w:asciiTheme="minorHAnsi" w:hAnsiTheme="minorHAnsi" w:cstheme="minorHAnsi"/>
          <w:sz w:val="20"/>
          <w:szCs w:val="20"/>
        </w:rPr>
        <w:t>Sporów</w:t>
      </w:r>
      <w:r w:rsidR="00AF7190" w:rsidRPr="0022771F">
        <w:rPr>
          <w:rFonts w:asciiTheme="minorHAnsi" w:hAnsiTheme="minorHAnsi" w:cstheme="minorHAnsi"/>
          <w:sz w:val="20"/>
          <w:szCs w:val="20"/>
        </w:rPr>
        <w:t>;</w:t>
      </w:r>
    </w:p>
    <w:p w14:paraId="6AEE60B3" w14:textId="0C89A5FB" w:rsidR="006F1C60" w:rsidRPr="0022771F" w:rsidRDefault="006F1C60" w:rsidP="006F1C60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Nieuzgodnienie zakresu prac w trybie Punktu poprzedniego nie zwalnia Partnera Prywatnego ze zobowiązania do zapewnienia, że</w:t>
      </w:r>
      <w:r w:rsidR="007F3207" w:rsidRPr="0022771F">
        <w:rPr>
          <w:rFonts w:asciiTheme="minorHAnsi" w:hAnsiTheme="minorHAnsi" w:cstheme="minorHAnsi"/>
          <w:sz w:val="20"/>
          <w:szCs w:val="20"/>
        </w:rPr>
        <w:t xml:space="preserve"> 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y</w:t>
      </w:r>
      <w:r w:rsidRPr="0022771F">
        <w:rPr>
          <w:rFonts w:asciiTheme="minorHAnsi" w:hAnsiTheme="minorHAnsi" w:cstheme="minorHAnsi"/>
          <w:sz w:val="20"/>
          <w:szCs w:val="20"/>
        </w:rPr>
        <w:t xml:space="preserve"> bę</w:t>
      </w:r>
      <w:r w:rsidR="007F3207" w:rsidRPr="0022771F">
        <w:rPr>
          <w:rFonts w:asciiTheme="minorHAnsi" w:hAnsiTheme="minorHAnsi" w:cstheme="minorHAnsi"/>
          <w:sz w:val="20"/>
          <w:szCs w:val="20"/>
        </w:rPr>
        <w:t>d</w:t>
      </w:r>
      <w:r w:rsidR="00617F20" w:rsidRPr="0022771F">
        <w:rPr>
          <w:rFonts w:asciiTheme="minorHAnsi" w:hAnsiTheme="minorHAnsi" w:cstheme="minorHAnsi"/>
          <w:sz w:val="20"/>
          <w:szCs w:val="20"/>
        </w:rPr>
        <w:t>ą</w:t>
      </w:r>
      <w:r w:rsidRPr="0022771F">
        <w:rPr>
          <w:rFonts w:asciiTheme="minorHAnsi" w:hAnsiTheme="minorHAnsi" w:cstheme="minorHAnsi"/>
          <w:sz w:val="20"/>
          <w:szCs w:val="20"/>
        </w:rPr>
        <w:t xml:space="preserve"> spełniać wymogi określone w niniejszym Załączniku</w:t>
      </w:r>
      <w:r w:rsidR="00AF7190" w:rsidRPr="0022771F">
        <w:rPr>
          <w:rFonts w:asciiTheme="minorHAnsi" w:hAnsiTheme="minorHAnsi" w:cstheme="minorHAnsi"/>
          <w:sz w:val="20"/>
          <w:szCs w:val="20"/>
        </w:rPr>
        <w:t>;</w:t>
      </w:r>
    </w:p>
    <w:p w14:paraId="3015147F" w14:textId="0B0865A4" w:rsidR="00796133" w:rsidRPr="006F626C" w:rsidRDefault="006F1C60" w:rsidP="00902D1E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965CF">
        <w:rPr>
          <w:rFonts w:asciiTheme="minorHAnsi" w:hAnsiTheme="minorHAnsi" w:cstheme="minorHAnsi"/>
          <w:sz w:val="20"/>
          <w:szCs w:val="20"/>
        </w:rPr>
        <w:t xml:space="preserve">Partner Prywatny uzyska od </w:t>
      </w:r>
      <w:r w:rsidR="009F5D9B" w:rsidRPr="002965CF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2965CF">
        <w:rPr>
          <w:rFonts w:asciiTheme="minorHAnsi" w:hAnsiTheme="minorHAnsi" w:cstheme="minorHAnsi"/>
          <w:sz w:val="20"/>
          <w:szCs w:val="20"/>
        </w:rPr>
        <w:t xml:space="preserve">przeprowadzającego prace, o których mowa w Punkcie </w:t>
      </w:r>
      <w:r w:rsidR="00F77962" w:rsidRPr="002965CF">
        <w:rPr>
          <w:rFonts w:asciiTheme="minorHAnsi" w:hAnsiTheme="minorHAnsi" w:cstheme="minorHAnsi"/>
          <w:sz w:val="20"/>
          <w:szCs w:val="20"/>
        </w:rPr>
        <w:t>(b)</w:t>
      </w:r>
      <w:r w:rsidRPr="002965CF">
        <w:rPr>
          <w:rFonts w:asciiTheme="minorHAnsi" w:hAnsiTheme="minorHAnsi" w:cstheme="minorHAnsi"/>
          <w:sz w:val="20"/>
          <w:szCs w:val="20"/>
        </w:rPr>
        <w:t xml:space="preserve">, gwarancję jakości na takie prace na okres co najmniej </w:t>
      </w:r>
      <w:r w:rsidR="00796133" w:rsidRPr="002965CF">
        <w:rPr>
          <w:rFonts w:asciiTheme="minorHAnsi" w:hAnsiTheme="minorHAnsi" w:cstheme="minorHAnsi"/>
          <w:sz w:val="20"/>
          <w:szCs w:val="20"/>
        </w:rPr>
        <w:t>dwunastu (12) miesięcy</w:t>
      </w:r>
      <w:r w:rsidR="0080412B">
        <w:rPr>
          <w:rFonts w:asciiTheme="minorHAnsi" w:hAnsiTheme="minorHAnsi" w:cstheme="minorHAnsi"/>
          <w:sz w:val="20"/>
          <w:szCs w:val="20"/>
        </w:rPr>
        <w:t xml:space="preserve"> </w:t>
      </w:r>
      <w:r w:rsidR="002965CF">
        <w:rPr>
          <w:rFonts w:asciiTheme="minorHAnsi" w:hAnsiTheme="minorHAnsi" w:cstheme="minorHAnsi"/>
          <w:sz w:val="20"/>
          <w:szCs w:val="20"/>
        </w:rPr>
        <w:t>od daty ich wykonania</w:t>
      </w:r>
      <w:r w:rsidR="00796133" w:rsidRPr="002965CF">
        <w:rPr>
          <w:rFonts w:asciiTheme="minorHAnsi" w:hAnsiTheme="minorHAnsi" w:cstheme="minorHAnsi"/>
          <w:sz w:val="20"/>
          <w:szCs w:val="20"/>
        </w:rPr>
        <w:t xml:space="preserve"> przy czym uprawnienia z gwarancji będą określone jako podlegające cesji na rzecz Podmiotu Publicznego. W przypadku, gdy Partner Prywatny wykona ww. prace samodzielnie, udzieli Podmiotowi Publicznemu gwarancji jakości na takie prace na okres co </w:t>
      </w:r>
      <w:r w:rsidR="00796133" w:rsidRPr="006F626C">
        <w:rPr>
          <w:rFonts w:asciiTheme="minorHAnsi" w:hAnsiTheme="minorHAnsi" w:cstheme="minorHAnsi"/>
          <w:sz w:val="20"/>
          <w:szCs w:val="20"/>
        </w:rPr>
        <w:t>najmniej dwunastu (12) miesięcy</w:t>
      </w:r>
      <w:r w:rsidR="002965CF" w:rsidRPr="006F626C">
        <w:rPr>
          <w:rFonts w:asciiTheme="minorHAnsi" w:hAnsiTheme="minorHAnsi" w:cstheme="minorHAnsi"/>
          <w:sz w:val="20"/>
          <w:szCs w:val="20"/>
        </w:rPr>
        <w:t xml:space="preserve"> od daty ich wykonania</w:t>
      </w:r>
      <w:r w:rsidR="009B2C74" w:rsidRPr="006F626C">
        <w:rPr>
          <w:rFonts w:asciiTheme="minorHAnsi" w:hAnsiTheme="minorHAnsi" w:cstheme="minorHAnsi"/>
          <w:sz w:val="20"/>
          <w:szCs w:val="20"/>
        </w:rPr>
        <w:t>;</w:t>
      </w:r>
    </w:p>
    <w:p w14:paraId="6EC14B77" w14:textId="43370C57" w:rsidR="006F1C60" w:rsidRPr="00317EA4" w:rsidRDefault="006F1C60" w:rsidP="006F1C60">
      <w:pPr>
        <w:pStyle w:val="Level3"/>
        <w:rPr>
          <w:rFonts w:asciiTheme="minorHAnsi" w:hAnsiTheme="minorHAnsi" w:cstheme="minorHAnsi"/>
          <w:sz w:val="20"/>
          <w:szCs w:val="20"/>
        </w:rPr>
      </w:pPr>
      <w:bookmarkStart w:id="2" w:name="_Hlk142254982"/>
      <w:r w:rsidRPr="00317EA4">
        <w:rPr>
          <w:rFonts w:asciiTheme="minorHAnsi" w:hAnsiTheme="minorHAnsi" w:cstheme="minorHAnsi"/>
          <w:sz w:val="20"/>
          <w:szCs w:val="20"/>
        </w:rPr>
        <w:t xml:space="preserve">Partner Prywatny jest zobowiązany do przekazania Podmiotowi Publicznemu uporządkowanej, spójnej i kompletnej </w:t>
      </w:r>
      <w:r w:rsidR="00F77962" w:rsidRPr="00317EA4">
        <w:rPr>
          <w:rFonts w:asciiTheme="minorHAnsi" w:hAnsiTheme="minorHAnsi" w:cstheme="minorHAnsi"/>
          <w:sz w:val="20"/>
          <w:szCs w:val="20"/>
        </w:rPr>
        <w:t xml:space="preserve">oraz zgodnej z </w:t>
      </w:r>
      <w:r w:rsidR="007F3207" w:rsidRPr="00317EA4">
        <w:rPr>
          <w:rFonts w:asciiTheme="minorHAnsi" w:hAnsiTheme="minorHAnsi" w:cstheme="minorHAnsi"/>
          <w:sz w:val="20"/>
          <w:szCs w:val="20"/>
        </w:rPr>
        <w:t>P</w:t>
      </w:r>
      <w:r w:rsidR="00F77962" w:rsidRPr="00317EA4">
        <w:rPr>
          <w:rFonts w:asciiTheme="minorHAnsi" w:hAnsiTheme="minorHAnsi" w:cstheme="minorHAnsi"/>
          <w:sz w:val="20"/>
          <w:szCs w:val="20"/>
        </w:rPr>
        <w:t xml:space="preserve">rzepisami Prawa </w:t>
      </w:r>
      <w:r w:rsidR="006F626C" w:rsidRPr="00317EA4">
        <w:rPr>
          <w:rFonts w:asciiTheme="minorHAnsi" w:hAnsiTheme="minorHAnsi" w:cstheme="minorHAnsi"/>
          <w:sz w:val="20"/>
          <w:szCs w:val="20"/>
        </w:rPr>
        <w:t xml:space="preserve">wytworzonej przez niego </w:t>
      </w:r>
      <w:r w:rsidRPr="00317EA4">
        <w:rPr>
          <w:rFonts w:asciiTheme="minorHAnsi" w:hAnsiTheme="minorHAnsi" w:cstheme="minorHAnsi"/>
          <w:sz w:val="20"/>
          <w:szCs w:val="20"/>
        </w:rPr>
        <w:t xml:space="preserve">dokumentacji dotyczącej ewidencji i stanu </w:t>
      </w:r>
      <w:r w:rsidR="007F3207" w:rsidRPr="00317EA4">
        <w:rPr>
          <w:rFonts w:asciiTheme="minorHAnsi" w:hAnsiTheme="minorHAnsi" w:cstheme="minorHAnsi"/>
          <w:sz w:val="20"/>
          <w:szCs w:val="20"/>
        </w:rPr>
        <w:t>Obiekt</w:t>
      </w:r>
      <w:r w:rsidR="00617F20" w:rsidRPr="00317EA4">
        <w:rPr>
          <w:rFonts w:asciiTheme="minorHAnsi" w:hAnsiTheme="minorHAnsi" w:cstheme="minorHAnsi"/>
          <w:sz w:val="20"/>
          <w:szCs w:val="20"/>
        </w:rPr>
        <w:t>ów</w:t>
      </w:r>
      <w:r w:rsidR="00AF7190" w:rsidRPr="00317EA4">
        <w:rPr>
          <w:rFonts w:asciiTheme="minorHAnsi" w:hAnsiTheme="minorHAnsi" w:cstheme="minorHAnsi"/>
          <w:sz w:val="20"/>
          <w:szCs w:val="20"/>
        </w:rPr>
        <w:t xml:space="preserve"> </w:t>
      </w:r>
      <w:r w:rsidR="007F3207" w:rsidRPr="00317EA4">
        <w:rPr>
          <w:rFonts w:asciiTheme="minorHAnsi" w:hAnsiTheme="minorHAnsi" w:cstheme="minorHAnsi"/>
          <w:sz w:val="20"/>
          <w:szCs w:val="20"/>
        </w:rPr>
        <w:t>według stanu na Datę Zakończenia Umowy</w:t>
      </w:r>
      <w:r w:rsidR="00317EA4" w:rsidRPr="00317EA4">
        <w:rPr>
          <w:rFonts w:asciiTheme="minorHAnsi" w:hAnsiTheme="minorHAnsi" w:cstheme="minorHAnsi"/>
          <w:sz w:val="20"/>
          <w:szCs w:val="20"/>
        </w:rPr>
        <w:t xml:space="preserve"> w ilościach </w:t>
      </w:r>
      <w:r w:rsidR="00317EA4">
        <w:rPr>
          <w:rFonts w:asciiTheme="minorHAnsi" w:hAnsiTheme="minorHAnsi" w:cstheme="minorHAnsi"/>
          <w:sz w:val="20"/>
          <w:szCs w:val="20"/>
        </w:rPr>
        <w:t xml:space="preserve">egzemplarzy i w </w:t>
      </w:r>
      <w:r w:rsidR="00317EA4" w:rsidRPr="00317EA4">
        <w:rPr>
          <w:rFonts w:asciiTheme="minorHAnsi" w:hAnsiTheme="minorHAnsi" w:cstheme="minorHAnsi"/>
          <w:sz w:val="20"/>
          <w:szCs w:val="20"/>
        </w:rPr>
        <w:t>formie określonej w Punkcie 8.1.5 Umowy</w:t>
      </w:r>
      <w:r w:rsidR="007F3207" w:rsidRPr="00317EA4">
        <w:rPr>
          <w:rFonts w:asciiTheme="minorHAnsi" w:hAnsiTheme="minorHAnsi" w:cstheme="minorHAnsi"/>
          <w:sz w:val="20"/>
          <w:szCs w:val="20"/>
        </w:rPr>
        <w:t>;</w:t>
      </w:r>
    </w:p>
    <w:p w14:paraId="4B700E86" w14:textId="2FA9EA87" w:rsidR="00F74DEC" w:rsidRPr="00DB742C" w:rsidRDefault="00F74DEC" w:rsidP="00DC2BFC">
      <w:pPr>
        <w:pStyle w:val="Level3"/>
        <w:rPr>
          <w:rFonts w:asciiTheme="minorHAnsi" w:hAnsiTheme="minorHAnsi" w:cstheme="minorHAnsi"/>
          <w:sz w:val="20"/>
          <w:szCs w:val="20"/>
        </w:rPr>
      </w:pPr>
      <w:bookmarkStart w:id="3" w:name="_Hlk142254941"/>
      <w:bookmarkEnd w:id="2"/>
      <w:r w:rsidRPr="00B915FE">
        <w:rPr>
          <w:rFonts w:asciiTheme="minorHAnsi" w:hAnsiTheme="minorHAnsi" w:cstheme="minorHAnsi"/>
          <w:sz w:val="20"/>
          <w:szCs w:val="20"/>
        </w:rPr>
        <w:t>Dokumentacja przekazywana w wersji  elektronicznej, edytowalnej powinna umożliwiać w pełni wykonywanie przez Podmiot Publiczny zależnych praw autorskich. w sposób umożliwiający nieograniczone korzystanie z niej przez Podmiot Publiczny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3"/>
    <w:p w14:paraId="240406D6" w14:textId="02A2BD3A" w:rsidR="005853C2" w:rsidRPr="0022771F" w:rsidRDefault="006F1C60" w:rsidP="00DC2BFC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Zwrot </w:t>
      </w:r>
      <w:r w:rsidR="007F3207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zostanie potwierdzony protokołem, podpisanym przez obydwie Strony najpóźniej w Dacie </w:t>
      </w:r>
      <w:r w:rsidR="00D759B8" w:rsidRPr="0022771F">
        <w:rPr>
          <w:rFonts w:asciiTheme="minorHAnsi" w:hAnsiTheme="minorHAnsi" w:cstheme="minorHAnsi"/>
          <w:sz w:val="20"/>
          <w:szCs w:val="20"/>
        </w:rPr>
        <w:t>Zakończenia Umowy</w:t>
      </w:r>
      <w:r w:rsidRPr="0022771F">
        <w:rPr>
          <w:rFonts w:asciiTheme="minorHAnsi" w:hAnsiTheme="minorHAnsi" w:cstheme="minorHAnsi"/>
          <w:sz w:val="20"/>
          <w:szCs w:val="20"/>
        </w:rPr>
        <w:t>.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434B41" w:rsidRPr="0022771F">
        <w:rPr>
          <w:rFonts w:asciiTheme="minorHAnsi" w:hAnsiTheme="minorHAnsi" w:cstheme="minorHAnsi"/>
          <w:sz w:val="20"/>
          <w:szCs w:val="20"/>
        </w:rPr>
        <w:t xml:space="preserve">Protokół sporządzi Partner Prywatny. </w:t>
      </w:r>
      <w:r w:rsidR="005F4BDE" w:rsidRPr="0022771F">
        <w:rPr>
          <w:rFonts w:asciiTheme="minorHAnsi" w:hAnsiTheme="minorHAnsi" w:cstheme="minorHAnsi"/>
          <w:sz w:val="20"/>
          <w:szCs w:val="20"/>
        </w:rPr>
        <w:t>Protokół powinien zawierać</w:t>
      </w:r>
      <w:r w:rsidR="005853C2" w:rsidRPr="0022771F">
        <w:rPr>
          <w:rFonts w:asciiTheme="minorHAnsi" w:hAnsiTheme="minorHAnsi" w:cstheme="minorHAnsi"/>
          <w:sz w:val="20"/>
          <w:szCs w:val="20"/>
        </w:rPr>
        <w:t>:</w:t>
      </w:r>
      <w:r w:rsidR="00DB74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86F83D" w14:textId="75E39C62" w:rsidR="005853C2" w:rsidRPr="0022771F" w:rsidRDefault="005853C2" w:rsidP="007F3207">
      <w:pPr>
        <w:pStyle w:val="Level4"/>
        <w:numPr>
          <w:ilvl w:val="0"/>
          <w:numId w:val="0"/>
        </w:numPr>
        <w:ind w:left="2126"/>
        <w:rPr>
          <w:rFonts w:asciiTheme="minorHAnsi" w:hAnsiTheme="minorHAnsi" w:cstheme="minorHAnsi"/>
          <w:sz w:val="20"/>
          <w:szCs w:val="20"/>
        </w:rPr>
      </w:pPr>
    </w:p>
    <w:p w14:paraId="59EE1459" w14:textId="343475EE" w:rsidR="005853C2" w:rsidRPr="0022771F" w:rsidRDefault="005F4BDE" w:rsidP="12C7CA4F">
      <w:pPr>
        <w:pStyle w:val="Level4"/>
        <w:rPr>
          <w:rFonts w:asciiTheme="minorHAnsi" w:hAnsiTheme="minorHAnsi" w:cstheme="minorBidi"/>
          <w:sz w:val="20"/>
          <w:szCs w:val="20"/>
        </w:rPr>
      </w:pPr>
      <w:r w:rsidRPr="12C7CA4F">
        <w:rPr>
          <w:rFonts w:asciiTheme="minorHAnsi" w:hAnsiTheme="minorHAnsi" w:cstheme="minorBidi"/>
          <w:sz w:val="20"/>
          <w:szCs w:val="20"/>
        </w:rPr>
        <w:t xml:space="preserve">opis stanu </w:t>
      </w:r>
      <w:r w:rsidR="007F3207" w:rsidRPr="12C7CA4F">
        <w:rPr>
          <w:rFonts w:asciiTheme="minorHAnsi" w:hAnsiTheme="minorHAnsi" w:cstheme="minorBidi"/>
          <w:sz w:val="20"/>
          <w:szCs w:val="20"/>
        </w:rPr>
        <w:t>Obiekt</w:t>
      </w:r>
      <w:r w:rsidR="00617F20" w:rsidRPr="12C7CA4F">
        <w:rPr>
          <w:rFonts w:asciiTheme="minorHAnsi" w:hAnsiTheme="minorHAnsi" w:cstheme="minorBidi"/>
          <w:sz w:val="20"/>
          <w:szCs w:val="20"/>
        </w:rPr>
        <w:t>ów</w:t>
      </w:r>
      <w:r w:rsidRPr="12C7CA4F">
        <w:rPr>
          <w:rFonts w:asciiTheme="minorHAnsi" w:hAnsiTheme="minorHAnsi" w:cstheme="minorBidi"/>
          <w:sz w:val="20"/>
          <w:szCs w:val="20"/>
        </w:rPr>
        <w:t xml:space="preserve">, w szczególności poprzez załączenie </w:t>
      </w:r>
      <w:r w:rsidR="00902D1E" w:rsidRPr="12C7CA4F">
        <w:rPr>
          <w:rFonts w:asciiTheme="minorHAnsi" w:hAnsiTheme="minorHAnsi" w:cstheme="minorBidi"/>
          <w:sz w:val="20"/>
          <w:szCs w:val="20"/>
        </w:rPr>
        <w:t>dokumentacji,</w:t>
      </w:r>
      <w:r w:rsidRPr="12C7CA4F">
        <w:rPr>
          <w:rFonts w:asciiTheme="minorHAnsi" w:hAnsiTheme="minorHAnsi" w:cstheme="minorBidi"/>
          <w:sz w:val="20"/>
          <w:szCs w:val="20"/>
        </w:rPr>
        <w:t xml:space="preserve"> o której mowa w punkcie </w:t>
      </w:r>
      <w:r w:rsidR="005853C2" w:rsidRPr="12C7CA4F">
        <w:rPr>
          <w:rFonts w:asciiTheme="minorHAnsi" w:hAnsiTheme="minorHAnsi" w:cstheme="minorBidi"/>
          <w:sz w:val="20"/>
          <w:szCs w:val="20"/>
        </w:rPr>
        <w:t xml:space="preserve">(e) </w:t>
      </w:r>
      <w:r w:rsidRPr="12C7CA4F">
        <w:rPr>
          <w:rFonts w:asciiTheme="minorHAnsi" w:hAnsiTheme="minorHAnsi" w:cstheme="minorBidi"/>
          <w:sz w:val="20"/>
          <w:szCs w:val="20"/>
        </w:rPr>
        <w:t xml:space="preserve">powyżej, a także wskazanie </w:t>
      </w:r>
      <w:r w:rsidR="0081172B" w:rsidRPr="12C7CA4F">
        <w:rPr>
          <w:rFonts w:asciiTheme="minorHAnsi" w:hAnsiTheme="minorHAnsi" w:cstheme="minorBidi"/>
          <w:sz w:val="20"/>
          <w:szCs w:val="20"/>
        </w:rPr>
        <w:t>zastrzeżeń</w:t>
      </w:r>
      <w:r w:rsidR="00317EA4">
        <w:rPr>
          <w:rFonts w:asciiTheme="minorHAnsi" w:hAnsiTheme="minorHAnsi" w:cstheme="minorBidi"/>
          <w:sz w:val="20"/>
          <w:szCs w:val="20"/>
        </w:rPr>
        <w:t xml:space="preserve"> lub </w:t>
      </w:r>
      <w:r w:rsidRPr="12C7CA4F">
        <w:rPr>
          <w:rFonts w:asciiTheme="minorHAnsi" w:hAnsiTheme="minorHAnsi" w:cstheme="minorBidi"/>
          <w:sz w:val="20"/>
          <w:szCs w:val="20"/>
        </w:rPr>
        <w:t>rozbieżności</w:t>
      </w:r>
      <w:r w:rsidR="00317EA4">
        <w:rPr>
          <w:rFonts w:asciiTheme="minorHAnsi" w:hAnsiTheme="minorHAnsi" w:cstheme="minorBidi"/>
          <w:sz w:val="20"/>
          <w:szCs w:val="20"/>
        </w:rPr>
        <w:t xml:space="preserve"> </w:t>
      </w:r>
      <w:r w:rsidRPr="12C7CA4F">
        <w:rPr>
          <w:rFonts w:asciiTheme="minorHAnsi" w:hAnsiTheme="minorHAnsi" w:cstheme="minorBidi"/>
          <w:sz w:val="20"/>
          <w:szCs w:val="20"/>
        </w:rPr>
        <w:t xml:space="preserve"> Stron</w:t>
      </w:r>
      <w:r w:rsidR="00317EA4">
        <w:rPr>
          <w:rFonts w:asciiTheme="minorHAnsi" w:hAnsiTheme="minorHAnsi" w:cstheme="minorBidi"/>
          <w:sz w:val="20"/>
          <w:szCs w:val="20"/>
        </w:rPr>
        <w:t xml:space="preserve"> (o ile dotyczy)</w:t>
      </w:r>
    </w:p>
    <w:p w14:paraId="1D8F9285" w14:textId="1B61A53F" w:rsidR="0061291F" w:rsidRPr="0022771F" w:rsidRDefault="0061291F" w:rsidP="0061291F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wskazanie oraz załączenie wszelkiej dokumentacji dotyczącej </w:t>
      </w:r>
      <w:r w:rsidR="007F3207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, która nie została do daty </w:t>
      </w:r>
      <w:r w:rsidR="001A489E">
        <w:rPr>
          <w:rFonts w:asciiTheme="minorHAnsi" w:hAnsiTheme="minorHAnsi" w:cstheme="minorHAnsi"/>
          <w:sz w:val="20"/>
          <w:szCs w:val="20"/>
        </w:rPr>
        <w:t>podpisania</w:t>
      </w:r>
      <w:r w:rsidR="001A489E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>protokołu zwrotu przekazana Podmiotowi Publicznemu</w:t>
      </w:r>
      <w:r w:rsidR="007D7487" w:rsidRPr="0022771F">
        <w:rPr>
          <w:rFonts w:asciiTheme="minorHAnsi" w:hAnsiTheme="minorHAnsi" w:cstheme="minorHAnsi"/>
          <w:sz w:val="20"/>
          <w:szCs w:val="20"/>
        </w:rPr>
        <w:t>,</w:t>
      </w:r>
    </w:p>
    <w:p w14:paraId="27F4B948" w14:textId="77777777" w:rsidR="007D7487" w:rsidRPr="0022771F" w:rsidRDefault="007D7487" w:rsidP="007D7487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wskazanie wszelkich umów i innych praw, o ile podlegają przeniesieniu na Podmiot Publiczny</w:t>
      </w:r>
      <w:r w:rsidR="00DC1B8C" w:rsidRPr="0022771F">
        <w:rPr>
          <w:rFonts w:asciiTheme="minorHAnsi" w:hAnsiTheme="minorHAnsi" w:cstheme="minorHAnsi"/>
          <w:sz w:val="20"/>
          <w:szCs w:val="20"/>
        </w:rPr>
        <w:t>.</w:t>
      </w:r>
    </w:p>
    <w:p w14:paraId="7274C523" w14:textId="56A2627D" w:rsidR="006F1C60" w:rsidRPr="0022771F" w:rsidRDefault="005853C2" w:rsidP="005853C2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 przypadku gdy </w:t>
      </w:r>
      <w:r w:rsidR="00434B41" w:rsidRPr="0022771F">
        <w:rPr>
          <w:rFonts w:asciiTheme="minorHAnsi" w:hAnsiTheme="minorHAnsi" w:cstheme="minorHAnsi"/>
          <w:sz w:val="20"/>
          <w:szCs w:val="20"/>
        </w:rPr>
        <w:t>Partner Prywatny</w:t>
      </w:r>
      <w:r w:rsidR="00676098">
        <w:rPr>
          <w:rFonts w:asciiTheme="minorHAnsi" w:hAnsiTheme="minorHAnsi" w:cstheme="minorHAnsi"/>
          <w:sz w:val="20"/>
          <w:szCs w:val="20"/>
        </w:rPr>
        <w:t>/ Podmiot Publiczny</w:t>
      </w:r>
      <w:r w:rsidR="00434B41" w:rsidRPr="0022771F">
        <w:rPr>
          <w:rFonts w:asciiTheme="minorHAnsi" w:hAnsiTheme="minorHAnsi" w:cstheme="minorHAnsi"/>
          <w:sz w:val="20"/>
          <w:szCs w:val="20"/>
        </w:rPr>
        <w:t xml:space="preserve"> będzie uchylać się od sporządzenia protokołu</w:t>
      </w:r>
      <w:r w:rsidR="00925BBE" w:rsidRPr="0022771F">
        <w:rPr>
          <w:rFonts w:asciiTheme="minorHAnsi" w:hAnsiTheme="minorHAnsi" w:cstheme="minorHAnsi"/>
          <w:sz w:val="20"/>
          <w:szCs w:val="20"/>
        </w:rPr>
        <w:t xml:space="preserve"> zwrotu</w:t>
      </w:r>
      <w:r w:rsidR="00434B41" w:rsidRPr="0022771F">
        <w:rPr>
          <w:rFonts w:asciiTheme="minorHAnsi" w:hAnsiTheme="minorHAnsi" w:cstheme="minorHAnsi"/>
          <w:sz w:val="20"/>
          <w:szCs w:val="20"/>
        </w:rPr>
        <w:t xml:space="preserve">, </w:t>
      </w:r>
      <w:r w:rsidR="00925BBE" w:rsidRPr="0022771F">
        <w:rPr>
          <w:rFonts w:asciiTheme="minorHAnsi" w:hAnsiTheme="minorHAnsi" w:cstheme="minorHAnsi"/>
          <w:sz w:val="20"/>
          <w:szCs w:val="20"/>
        </w:rPr>
        <w:t xml:space="preserve">albo </w:t>
      </w:r>
      <w:r w:rsidRPr="0022771F">
        <w:rPr>
          <w:rFonts w:asciiTheme="minorHAnsi" w:hAnsiTheme="minorHAnsi" w:cstheme="minorHAnsi"/>
          <w:sz w:val="20"/>
          <w:szCs w:val="20"/>
        </w:rPr>
        <w:t xml:space="preserve">którakolwiek ze Stron będzie uchylać się </w:t>
      </w:r>
      <w:r w:rsidR="00902D1E" w:rsidRPr="0022771F">
        <w:rPr>
          <w:rFonts w:asciiTheme="minorHAnsi" w:hAnsiTheme="minorHAnsi" w:cstheme="minorHAnsi"/>
          <w:sz w:val="20"/>
          <w:szCs w:val="20"/>
        </w:rPr>
        <w:t>od podpisania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61291F" w:rsidRPr="0022771F">
        <w:rPr>
          <w:rFonts w:asciiTheme="minorHAnsi" w:hAnsiTheme="minorHAnsi" w:cstheme="minorHAnsi"/>
          <w:sz w:val="20"/>
          <w:szCs w:val="20"/>
        </w:rPr>
        <w:t xml:space="preserve">protokołu zwrotu, </w:t>
      </w:r>
      <w:r w:rsidR="0081172B" w:rsidRPr="0022771F">
        <w:rPr>
          <w:rFonts w:asciiTheme="minorHAnsi" w:hAnsiTheme="minorHAnsi" w:cstheme="minorHAnsi"/>
          <w:sz w:val="20"/>
          <w:szCs w:val="20"/>
        </w:rPr>
        <w:t xml:space="preserve">druga Strona może wyznaczyć Stronie uchylającej się </w:t>
      </w:r>
      <w:r w:rsidR="00045FCC">
        <w:rPr>
          <w:rFonts w:asciiTheme="minorHAnsi" w:hAnsiTheme="minorHAnsi" w:cstheme="minorHAnsi"/>
          <w:sz w:val="20"/>
          <w:szCs w:val="20"/>
        </w:rPr>
        <w:t>siedem (</w:t>
      </w:r>
      <w:r w:rsidR="0081172B" w:rsidRPr="0022771F">
        <w:rPr>
          <w:rFonts w:asciiTheme="minorHAnsi" w:hAnsiTheme="minorHAnsi" w:cstheme="minorHAnsi"/>
          <w:sz w:val="20"/>
          <w:szCs w:val="20"/>
        </w:rPr>
        <w:t>7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="0081172B" w:rsidRPr="0022771F">
        <w:rPr>
          <w:rFonts w:asciiTheme="minorHAnsi" w:hAnsiTheme="minorHAnsi" w:cstheme="minorHAnsi"/>
          <w:sz w:val="20"/>
          <w:szCs w:val="20"/>
        </w:rPr>
        <w:t xml:space="preserve"> Dni Roboczych na sporządzenie lub podpisanie protokołu zwrotu, a w przypadku bezskutecznego upływu tego terminu, uznaje się, że Strona uchylająca się sporządziła lub podpisała protokół zwrotu bez zastrzeżeń.</w:t>
      </w:r>
      <w:r w:rsidR="00F74D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BBC295" w14:textId="3F1DD66F" w:rsidR="006F1C60" w:rsidRPr="0022771F" w:rsidRDefault="006F1C60" w:rsidP="006F1C60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Zwrot </w:t>
      </w:r>
      <w:r w:rsidR="00AE66E2" w:rsidRPr="0022771F">
        <w:rPr>
          <w:rFonts w:asciiTheme="minorHAnsi" w:hAnsiTheme="minorHAnsi" w:cstheme="minorHAnsi"/>
          <w:sz w:val="20"/>
          <w:szCs w:val="20"/>
        </w:rPr>
        <w:t>Obiektu</w:t>
      </w:r>
      <w:r w:rsidRPr="0022771F">
        <w:rPr>
          <w:rFonts w:asciiTheme="minorHAnsi" w:hAnsiTheme="minorHAnsi" w:cstheme="minorHAnsi"/>
          <w:sz w:val="20"/>
          <w:szCs w:val="20"/>
        </w:rPr>
        <w:t xml:space="preserve"> w Dacie Rozwiązania Umowy </w:t>
      </w:r>
      <w:r w:rsidR="00AE66E2" w:rsidRPr="002277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249324" w14:textId="77777777" w:rsidR="006F1C60" w:rsidRPr="0022771F" w:rsidRDefault="006F1C60" w:rsidP="004A39F2">
      <w:pPr>
        <w:pStyle w:val="Level2"/>
        <w:tabs>
          <w:tab w:val="clear" w:pos="3261"/>
        </w:tabs>
        <w:ind w:left="709"/>
        <w:rPr>
          <w:rFonts w:asciiTheme="minorHAnsi" w:hAnsiTheme="minorHAnsi" w:cstheme="minorHAnsi"/>
          <w:b/>
          <w:sz w:val="20"/>
          <w:szCs w:val="20"/>
        </w:rPr>
      </w:pPr>
      <w:r w:rsidRPr="0022771F">
        <w:rPr>
          <w:rFonts w:asciiTheme="minorHAnsi" w:hAnsiTheme="minorHAnsi" w:cstheme="minorHAnsi"/>
          <w:b/>
          <w:sz w:val="20"/>
          <w:szCs w:val="20"/>
        </w:rPr>
        <w:t>Wymogi</w:t>
      </w:r>
    </w:p>
    <w:p w14:paraId="174D18D1" w14:textId="2707AE42" w:rsidR="0022771F" w:rsidRDefault="00AE66E2" w:rsidP="0022771F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y</w:t>
      </w:r>
      <w:r w:rsidRPr="0022771F">
        <w:rPr>
          <w:rFonts w:asciiTheme="minorHAnsi" w:hAnsiTheme="minorHAnsi" w:cstheme="minorHAnsi"/>
          <w:sz w:val="20"/>
          <w:szCs w:val="20"/>
        </w:rPr>
        <w:t xml:space="preserve"> zostan</w:t>
      </w:r>
      <w:r w:rsidR="00617F20" w:rsidRPr="0022771F">
        <w:rPr>
          <w:rFonts w:asciiTheme="minorHAnsi" w:hAnsiTheme="minorHAnsi" w:cstheme="minorHAnsi"/>
          <w:sz w:val="20"/>
          <w:szCs w:val="20"/>
        </w:rPr>
        <w:t>ą</w:t>
      </w:r>
      <w:r w:rsidRPr="0022771F">
        <w:rPr>
          <w:rFonts w:asciiTheme="minorHAnsi" w:hAnsiTheme="minorHAnsi" w:cstheme="minorHAnsi"/>
          <w:sz w:val="20"/>
          <w:szCs w:val="20"/>
        </w:rPr>
        <w:t xml:space="preserve"> zwrócon</w:t>
      </w:r>
      <w:r w:rsidR="00617F20" w:rsidRPr="0022771F">
        <w:rPr>
          <w:rFonts w:asciiTheme="minorHAnsi" w:hAnsiTheme="minorHAnsi" w:cstheme="minorHAnsi"/>
          <w:sz w:val="20"/>
          <w:szCs w:val="20"/>
        </w:rPr>
        <w:t>e</w:t>
      </w:r>
      <w:r w:rsidRPr="0022771F">
        <w:rPr>
          <w:rFonts w:asciiTheme="minorHAnsi" w:hAnsiTheme="minorHAnsi" w:cstheme="minorHAnsi"/>
          <w:sz w:val="20"/>
          <w:szCs w:val="20"/>
        </w:rPr>
        <w:t xml:space="preserve"> w stanie technicznym spełniającym wymagania określone w </w:t>
      </w:r>
      <w:r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Załączniku nr 6 Standardy </w:t>
      </w:r>
      <w:r w:rsidR="0022771F">
        <w:rPr>
          <w:rFonts w:asciiTheme="minorHAnsi" w:hAnsiTheme="minorHAnsi" w:cstheme="minorHAnsi"/>
          <w:b/>
          <w:bCs/>
          <w:sz w:val="20"/>
          <w:szCs w:val="20"/>
        </w:rPr>
        <w:t>Dostępności Obiektów</w:t>
      </w:r>
      <w:r w:rsidRPr="0022771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22771F">
        <w:rPr>
          <w:rFonts w:asciiTheme="minorHAnsi" w:hAnsiTheme="minorHAnsi" w:cstheme="minorHAnsi"/>
          <w:sz w:val="20"/>
          <w:szCs w:val="20"/>
        </w:rPr>
        <w:t>z</w:t>
      </w:r>
      <w:r w:rsidR="001B42A8" w:rsidRPr="0022771F">
        <w:rPr>
          <w:rFonts w:asciiTheme="minorHAnsi" w:hAnsiTheme="minorHAnsi" w:cstheme="minorHAnsi"/>
          <w:sz w:val="20"/>
          <w:szCs w:val="20"/>
        </w:rPr>
        <w:t xml:space="preserve"> zastrzeżeniem odmiennych postanowień Umowy, w tym w szczególności w zakresie </w:t>
      </w:r>
      <w:r w:rsidR="0022771F">
        <w:rPr>
          <w:rFonts w:asciiTheme="minorHAnsi" w:hAnsiTheme="minorHAnsi" w:cstheme="minorHAnsi"/>
          <w:sz w:val="20"/>
          <w:szCs w:val="20"/>
        </w:rPr>
        <w:t xml:space="preserve">Przypadku </w:t>
      </w:r>
      <w:r w:rsidR="0022771F" w:rsidRPr="0022771F">
        <w:rPr>
          <w:rFonts w:asciiTheme="minorHAnsi" w:hAnsiTheme="minorHAnsi" w:cstheme="minorHAnsi"/>
          <w:sz w:val="20"/>
          <w:szCs w:val="20"/>
        </w:rPr>
        <w:t xml:space="preserve">Siły Wyższej, Przypadków Kompensacyjnych </w:t>
      </w:r>
      <w:r w:rsidR="002965CF">
        <w:rPr>
          <w:rFonts w:asciiTheme="minorHAnsi" w:hAnsiTheme="minorHAnsi" w:cstheme="minorHAnsi"/>
          <w:sz w:val="20"/>
          <w:szCs w:val="20"/>
        </w:rPr>
        <w:t>lub</w:t>
      </w:r>
      <w:r w:rsidR="002965CF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22771F" w:rsidRPr="0022771F">
        <w:rPr>
          <w:rFonts w:asciiTheme="minorHAnsi" w:hAnsiTheme="minorHAnsi" w:cstheme="minorHAnsi"/>
          <w:sz w:val="20"/>
          <w:szCs w:val="20"/>
        </w:rPr>
        <w:t xml:space="preserve">Aktów Wandalizmu, a także przypadków, gdy </w:t>
      </w:r>
      <w:r w:rsidR="00E57524" w:rsidRPr="0022771F">
        <w:rPr>
          <w:rFonts w:asciiTheme="minorHAnsi" w:hAnsiTheme="minorHAnsi" w:cstheme="minorHAnsi"/>
          <w:sz w:val="20"/>
          <w:szCs w:val="20"/>
        </w:rPr>
        <w:t>rozwiązanie Umowy</w:t>
      </w:r>
      <w:r w:rsidR="0022771F" w:rsidRPr="0022771F">
        <w:rPr>
          <w:rFonts w:asciiTheme="minorHAnsi" w:hAnsiTheme="minorHAnsi" w:cstheme="minorHAnsi"/>
          <w:sz w:val="20"/>
          <w:szCs w:val="20"/>
        </w:rPr>
        <w:t xml:space="preserve"> jest następstwem niedochowania wymogów określonych w </w:t>
      </w:r>
      <w:r w:rsidR="0022771F" w:rsidRPr="0022771F">
        <w:rPr>
          <w:rFonts w:asciiTheme="minorHAnsi" w:hAnsiTheme="minorHAnsi" w:cstheme="minorHAnsi"/>
          <w:b/>
          <w:bCs/>
          <w:sz w:val="20"/>
          <w:szCs w:val="20"/>
        </w:rPr>
        <w:t>Załączniku nr 6 Standardy Dostępności Obiektów.</w:t>
      </w:r>
    </w:p>
    <w:p w14:paraId="2E2F88FD" w14:textId="02C9EB1B" w:rsidR="006F1C60" w:rsidRPr="0022771F" w:rsidRDefault="006F1C60" w:rsidP="0022771F">
      <w:pPr>
        <w:pStyle w:val="Level2"/>
        <w:tabs>
          <w:tab w:val="clear" w:pos="3261"/>
        </w:tabs>
        <w:ind w:left="709"/>
        <w:rPr>
          <w:rFonts w:asciiTheme="minorHAnsi" w:hAnsiTheme="minorHAnsi" w:cstheme="minorHAnsi"/>
          <w:b/>
          <w:sz w:val="20"/>
          <w:szCs w:val="20"/>
        </w:rPr>
      </w:pPr>
      <w:r w:rsidRPr="0022771F">
        <w:rPr>
          <w:rFonts w:asciiTheme="minorHAnsi" w:hAnsiTheme="minorHAnsi" w:cstheme="minorHAnsi"/>
          <w:b/>
          <w:sz w:val="20"/>
          <w:szCs w:val="20"/>
        </w:rPr>
        <w:t xml:space="preserve">Procedura </w:t>
      </w:r>
      <w:r w:rsidR="00F8380E" w:rsidRPr="0022771F">
        <w:rPr>
          <w:rFonts w:asciiTheme="minorHAnsi" w:hAnsiTheme="minorHAnsi" w:cstheme="minorHAnsi"/>
          <w:b/>
          <w:sz w:val="20"/>
          <w:szCs w:val="20"/>
        </w:rPr>
        <w:t>zwrotu</w:t>
      </w:r>
    </w:p>
    <w:p w14:paraId="70A72B12" w14:textId="018EAC98" w:rsidR="00F8380E" w:rsidRPr="0022771F" w:rsidRDefault="00F8380E" w:rsidP="00F8380E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Strony przeprowadzą kontrolę </w:t>
      </w:r>
      <w:r w:rsidR="00AE66E2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w terminie wskazanym przez Podmiot Publiczny, nie </w:t>
      </w:r>
      <w:r w:rsidR="00D46C50" w:rsidRPr="0022771F">
        <w:rPr>
          <w:rFonts w:asciiTheme="minorHAnsi" w:hAnsiTheme="minorHAnsi" w:cstheme="minorHAnsi"/>
          <w:sz w:val="20"/>
          <w:szCs w:val="20"/>
        </w:rPr>
        <w:t xml:space="preserve">późniejszym niż </w:t>
      </w:r>
      <w:r w:rsidR="00045FCC">
        <w:rPr>
          <w:rFonts w:asciiTheme="minorHAnsi" w:hAnsiTheme="minorHAnsi" w:cstheme="minorHAnsi"/>
          <w:sz w:val="20"/>
          <w:szCs w:val="20"/>
        </w:rPr>
        <w:t>trzydzieści (</w:t>
      </w:r>
      <w:r w:rsidR="00D46C50" w:rsidRPr="0022771F">
        <w:rPr>
          <w:rFonts w:asciiTheme="minorHAnsi" w:hAnsiTheme="minorHAnsi" w:cstheme="minorHAnsi"/>
          <w:sz w:val="20"/>
          <w:szCs w:val="20"/>
        </w:rPr>
        <w:t>30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="00D46C50" w:rsidRPr="0022771F">
        <w:rPr>
          <w:rFonts w:asciiTheme="minorHAnsi" w:hAnsiTheme="minorHAnsi" w:cstheme="minorHAnsi"/>
          <w:sz w:val="20"/>
          <w:szCs w:val="20"/>
        </w:rPr>
        <w:t xml:space="preserve"> Dni </w:t>
      </w:r>
      <w:r w:rsidR="00F77962" w:rsidRPr="0022771F">
        <w:rPr>
          <w:rFonts w:asciiTheme="minorHAnsi" w:hAnsiTheme="minorHAnsi" w:cstheme="minorHAnsi"/>
          <w:sz w:val="20"/>
          <w:szCs w:val="20"/>
        </w:rPr>
        <w:t xml:space="preserve">przed </w:t>
      </w:r>
      <w:r w:rsidR="00080E8A" w:rsidRPr="0022771F">
        <w:rPr>
          <w:rFonts w:asciiTheme="minorHAnsi" w:hAnsiTheme="minorHAnsi" w:cstheme="minorHAnsi"/>
          <w:sz w:val="20"/>
          <w:szCs w:val="20"/>
        </w:rPr>
        <w:t>przewidywan</w:t>
      </w:r>
      <w:r w:rsidR="00F77962" w:rsidRPr="0022771F">
        <w:rPr>
          <w:rFonts w:asciiTheme="minorHAnsi" w:hAnsiTheme="minorHAnsi" w:cstheme="minorHAnsi"/>
          <w:sz w:val="20"/>
          <w:szCs w:val="20"/>
        </w:rPr>
        <w:t>ą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Pr="0022771F">
        <w:rPr>
          <w:rFonts w:asciiTheme="minorHAnsi" w:hAnsiTheme="minorHAnsi" w:cstheme="minorHAnsi"/>
          <w:sz w:val="20"/>
          <w:szCs w:val="20"/>
        </w:rPr>
        <w:t>Dat</w:t>
      </w:r>
      <w:r w:rsidR="00F77962" w:rsidRPr="0022771F">
        <w:rPr>
          <w:rFonts w:asciiTheme="minorHAnsi" w:hAnsiTheme="minorHAnsi" w:cstheme="minorHAnsi"/>
          <w:sz w:val="20"/>
          <w:szCs w:val="20"/>
        </w:rPr>
        <w:t>ą</w:t>
      </w:r>
      <w:r w:rsidRPr="0022771F">
        <w:rPr>
          <w:rFonts w:asciiTheme="minorHAnsi" w:hAnsiTheme="minorHAnsi" w:cstheme="minorHAnsi"/>
          <w:sz w:val="20"/>
          <w:szCs w:val="20"/>
        </w:rPr>
        <w:t xml:space="preserve"> Rozwiązania Umowy.</w:t>
      </w:r>
      <w:r w:rsidR="00925BBE" w:rsidRPr="0022771F">
        <w:rPr>
          <w:rFonts w:asciiTheme="minorHAnsi" w:hAnsiTheme="minorHAnsi" w:cstheme="minorHAnsi"/>
          <w:sz w:val="20"/>
          <w:szCs w:val="20"/>
        </w:rPr>
        <w:t xml:space="preserve"> Jeśli Partner Prywatny nie przystąpi do takiej kontroli, wówczas kontrola zostanie przeprowadzona samodzielnie przez Podmiot Publiczny.</w:t>
      </w:r>
    </w:p>
    <w:p w14:paraId="582C5796" w14:textId="04A13D5E" w:rsidR="005F4BDE" w:rsidRPr="0022771F" w:rsidRDefault="005F4BDE" w:rsidP="005F4BDE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Partner Prywatny jest zobowiązany do przekazania Podmiotowi Publicznemu uporządkowanej, spójnej i kompletnej </w:t>
      </w:r>
      <w:r w:rsidR="00F77962" w:rsidRPr="0022771F">
        <w:rPr>
          <w:rFonts w:asciiTheme="minorHAnsi" w:hAnsiTheme="minorHAnsi" w:cstheme="minorHAnsi"/>
          <w:sz w:val="20"/>
          <w:szCs w:val="20"/>
        </w:rPr>
        <w:t xml:space="preserve">oraz zgodnej z </w:t>
      </w:r>
      <w:r w:rsidR="00AE66E2" w:rsidRPr="0022771F">
        <w:rPr>
          <w:rFonts w:asciiTheme="minorHAnsi" w:hAnsiTheme="minorHAnsi" w:cstheme="minorHAnsi"/>
          <w:sz w:val="20"/>
          <w:szCs w:val="20"/>
        </w:rPr>
        <w:t>P</w:t>
      </w:r>
      <w:r w:rsidR="00F77962" w:rsidRPr="0022771F">
        <w:rPr>
          <w:rFonts w:asciiTheme="minorHAnsi" w:hAnsiTheme="minorHAnsi" w:cstheme="minorHAnsi"/>
          <w:sz w:val="20"/>
          <w:szCs w:val="20"/>
        </w:rPr>
        <w:t xml:space="preserve">rzepisami Prawa </w:t>
      </w:r>
      <w:r w:rsidRPr="0022771F">
        <w:rPr>
          <w:rFonts w:asciiTheme="minorHAnsi" w:hAnsiTheme="minorHAnsi" w:cstheme="minorHAnsi"/>
          <w:sz w:val="20"/>
          <w:szCs w:val="20"/>
        </w:rPr>
        <w:t xml:space="preserve">dokumentacji dotyczącej ewidencji i stanu </w:t>
      </w:r>
      <w:r w:rsidR="00AE66E2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AE66E2" w:rsidRPr="0022771F">
        <w:rPr>
          <w:rFonts w:asciiTheme="minorHAnsi" w:hAnsiTheme="minorHAnsi" w:cstheme="minorHAnsi"/>
          <w:sz w:val="20"/>
          <w:szCs w:val="20"/>
        </w:rPr>
        <w:t>według</w:t>
      </w:r>
      <w:r w:rsidRPr="0022771F">
        <w:rPr>
          <w:rFonts w:asciiTheme="minorHAnsi" w:hAnsiTheme="minorHAnsi" w:cstheme="minorHAnsi"/>
          <w:sz w:val="20"/>
          <w:szCs w:val="20"/>
        </w:rPr>
        <w:t xml:space="preserve"> stanu na Datę </w:t>
      </w:r>
      <w:r w:rsidR="00080E8A" w:rsidRPr="0022771F">
        <w:rPr>
          <w:rFonts w:asciiTheme="minorHAnsi" w:hAnsiTheme="minorHAnsi" w:cstheme="minorHAnsi"/>
          <w:sz w:val="20"/>
          <w:szCs w:val="20"/>
        </w:rPr>
        <w:t>Rozwiązania Umowy</w:t>
      </w:r>
      <w:r w:rsidR="00AF7190" w:rsidRPr="0022771F">
        <w:rPr>
          <w:rFonts w:asciiTheme="minorHAnsi" w:hAnsiTheme="minorHAnsi" w:cstheme="minorHAnsi"/>
          <w:sz w:val="20"/>
          <w:szCs w:val="20"/>
        </w:rPr>
        <w:t>;</w:t>
      </w:r>
    </w:p>
    <w:p w14:paraId="2250C283" w14:textId="77103BE8" w:rsidR="00DB742C" w:rsidRPr="00DB742C" w:rsidRDefault="005F4BDE" w:rsidP="00DC2BFC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Partner Prywatny przekaże Dokumentację w</w:t>
      </w:r>
      <w:r w:rsidR="00317EA4" w:rsidRPr="00317EA4">
        <w:rPr>
          <w:rFonts w:asciiTheme="minorHAnsi" w:hAnsiTheme="minorHAnsi" w:cstheme="minorHAnsi"/>
          <w:sz w:val="20"/>
          <w:szCs w:val="20"/>
        </w:rPr>
        <w:t xml:space="preserve"> ilościach egzemplarzy i w formie określonej w Punkcie 8.1.5 Umowy</w:t>
      </w:r>
      <w:r w:rsidR="00F77962" w:rsidRPr="0022771F">
        <w:rPr>
          <w:rFonts w:asciiTheme="minorHAnsi" w:hAnsiTheme="minorHAnsi" w:cstheme="minorHAnsi"/>
          <w:sz w:val="20"/>
          <w:szCs w:val="20"/>
        </w:rPr>
        <w:t>,</w:t>
      </w:r>
      <w:r w:rsidR="00317EA4">
        <w:rPr>
          <w:rFonts w:asciiTheme="minorHAnsi" w:hAnsiTheme="minorHAnsi" w:cstheme="minorHAnsi"/>
          <w:sz w:val="20"/>
          <w:szCs w:val="20"/>
        </w:rPr>
        <w:t xml:space="preserve"> </w:t>
      </w:r>
      <w:r w:rsidR="00C92AA6" w:rsidRPr="00C92AA6">
        <w:rPr>
          <w:rFonts w:asciiTheme="minorHAnsi" w:hAnsiTheme="minorHAnsi" w:cstheme="minorHAnsi"/>
          <w:sz w:val="20"/>
          <w:szCs w:val="20"/>
        </w:rPr>
        <w:t xml:space="preserve">Dokumentacja przekazywana w wersji  elektronicznej, edytowalnej powinna umożliwiać w pełni wykonywanie przez Podmiot Publiczny zależnych praw autorskich. w sposób umożliwiający nieograniczone korzystanie z niej przez Podmiot Publiczny;   </w:t>
      </w:r>
    </w:p>
    <w:p w14:paraId="15332466" w14:textId="7E704625" w:rsidR="0081172B" w:rsidRPr="0022771F" w:rsidRDefault="0081172B" w:rsidP="00DB742C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Zwrot </w:t>
      </w:r>
      <w:r w:rsidR="00AE66E2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zostanie potwierdzony protokołem, podpisanym przez obydwie Strony najpóźniej w Dacie </w:t>
      </w:r>
      <w:r w:rsidR="008343A5" w:rsidRPr="0022771F">
        <w:rPr>
          <w:rFonts w:asciiTheme="minorHAnsi" w:hAnsiTheme="minorHAnsi" w:cstheme="minorHAnsi"/>
          <w:sz w:val="20"/>
          <w:szCs w:val="20"/>
        </w:rPr>
        <w:t>Rozwiązania Umowy</w:t>
      </w:r>
      <w:r w:rsidRPr="0022771F">
        <w:rPr>
          <w:rFonts w:asciiTheme="minorHAnsi" w:hAnsiTheme="minorHAnsi" w:cstheme="minorHAnsi"/>
          <w:sz w:val="20"/>
          <w:szCs w:val="20"/>
        </w:rPr>
        <w:t>.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7E47B7" w:rsidRPr="0022771F">
        <w:rPr>
          <w:rFonts w:asciiTheme="minorHAnsi" w:hAnsiTheme="minorHAnsi" w:cstheme="minorHAnsi"/>
          <w:sz w:val="20"/>
          <w:szCs w:val="20"/>
        </w:rPr>
        <w:t xml:space="preserve">Protokół sporządzi Partner Prywatny. </w:t>
      </w:r>
      <w:r w:rsidRPr="0022771F">
        <w:rPr>
          <w:rFonts w:asciiTheme="minorHAnsi" w:hAnsiTheme="minorHAnsi" w:cstheme="minorHAnsi"/>
          <w:sz w:val="20"/>
          <w:szCs w:val="20"/>
        </w:rPr>
        <w:t>Protokół powinien zawierać:</w:t>
      </w:r>
    </w:p>
    <w:p w14:paraId="60746BCC" w14:textId="7453B389" w:rsidR="0081172B" w:rsidRPr="0022771F" w:rsidRDefault="0081172B" w:rsidP="0081172B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opis stanu </w:t>
      </w:r>
      <w:r w:rsidR="00AE66E2" w:rsidRPr="0022771F">
        <w:rPr>
          <w:rFonts w:asciiTheme="minorHAnsi" w:hAnsiTheme="minorHAnsi" w:cstheme="minorHAnsi"/>
          <w:sz w:val="20"/>
          <w:szCs w:val="20"/>
        </w:rPr>
        <w:t>zwracan</w:t>
      </w:r>
      <w:r w:rsidR="00C53AB8">
        <w:rPr>
          <w:rFonts w:asciiTheme="minorHAnsi" w:hAnsiTheme="minorHAnsi" w:cstheme="minorHAnsi"/>
          <w:sz w:val="20"/>
          <w:szCs w:val="20"/>
        </w:rPr>
        <w:t>ych</w:t>
      </w:r>
      <w:r w:rsidR="00AE66E2" w:rsidRPr="0022771F">
        <w:rPr>
          <w:rFonts w:asciiTheme="minorHAnsi" w:hAnsiTheme="minorHAnsi" w:cstheme="minorHAnsi"/>
          <w:sz w:val="20"/>
          <w:szCs w:val="20"/>
        </w:rPr>
        <w:t xml:space="preserve"> 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, w szczególności poprzez załączenie </w:t>
      </w:r>
      <w:r w:rsidR="00E57524" w:rsidRPr="0022771F">
        <w:rPr>
          <w:rFonts w:asciiTheme="minorHAnsi" w:hAnsiTheme="minorHAnsi" w:cstheme="minorHAnsi"/>
          <w:sz w:val="20"/>
          <w:szCs w:val="20"/>
        </w:rPr>
        <w:t>dokumentacji,</w:t>
      </w:r>
      <w:r w:rsidRPr="0022771F">
        <w:rPr>
          <w:rFonts w:asciiTheme="minorHAnsi" w:hAnsiTheme="minorHAnsi" w:cstheme="minorHAnsi"/>
          <w:sz w:val="20"/>
          <w:szCs w:val="20"/>
        </w:rPr>
        <w:t xml:space="preserve"> o której mowa w punkcie (</w:t>
      </w:r>
      <w:r w:rsidR="00F77962" w:rsidRPr="0022771F">
        <w:rPr>
          <w:rFonts w:asciiTheme="minorHAnsi" w:hAnsiTheme="minorHAnsi" w:cstheme="minorHAnsi"/>
          <w:sz w:val="20"/>
          <w:szCs w:val="20"/>
        </w:rPr>
        <w:t>a</w:t>
      </w:r>
      <w:r w:rsidR="00AF7190" w:rsidRPr="0022771F">
        <w:rPr>
          <w:rFonts w:asciiTheme="minorHAnsi" w:hAnsiTheme="minorHAnsi" w:cstheme="minorHAnsi"/>
          <w:sz w:val="20"/>
          <w:szCs w:val="20"/>
        </w:rPr>
        <w:t xml:space="preserve">) </w:t>
      </w:r>
      <w:r w:rsidRPr="0022771F">
        <w:rPr>
          <w:rFonts w:asciiTheme="minorHAnsi" w:hAnsiTheme="minorHAnsi" w:cstheme="minorHAnsi"/>
          <w:sz w:val="20"/>
          <w:szCs w:val="20"/>
        </w:rPr>
        <w:t xml:space="preserve">powyżej, </w:t>
      </w:r>
      <w:bookmarkStart w:id="4" w:name="_Hlk140563023"/>
      <w:r w:rsidRPr="0022771F">
        <w:rPr>
          <w:rFonts w:asciiTheme="minorHAnsi" w:hAnsiTheme="minorHAnsi" w:cstheme="minorHAnsi"/>
          <w:sz w:val="20"/>
          <w:szCs w:val="20"/>
        </w:rPr>
        <w:t>a także wskazanie zastrzeżeń</w:t>
      </w:r>
      <w:r w:rsidR="00317EA4">
        <w:rPr>
          <w:rFonts w:asciiTheme="minorHAnsi" w:hAnsiTheme="minorHAnsi" w:cstheme="minorHAnsi"/>
          <w:sz w:val="20"/>
          <w:szCs w:val="20"/>
        </w:rPr>
        <w:t xml:space="preserve"> lub </w:t>
      </w:r>
      <w:r w:rsidRPr="0022771F">
        <w:rPr>
          <w:rFonts w:asciiTheme="minorHAnsi" w:hAnsiTheme="minorHAnsi" w:cstheme="minorHAnsi"/>
          <w:sz w:val="20"/>
          <w:szCs w:val="20"/>
        </w:rPr>
        <w:t>rozbieżności Stron</w:t>
      </w:r>
      <w:r w:rsidR="00317EA4">
        <w:rPr>
          <w:rFonts w:asciiTheme="minorHAnsi" w:hAnsiTheme="minorHAnsi" w:cstheme="minorHAnsi"/>
          <w:sz w:val="20"/>
          <w:szCs w:val="20"/>
        </w:rPr>
        <w:t xml:space="preserve"> (o ile dotyczy);</w:t>
      </w:r>
      <w:bookmarkEnd w:id="4"/>
    </w:p>
    <w:p w14:paraId="6D5863F9" w14:textId="20002DB1" w:rsidR="0081172B" w:rsidRPr="0022771F" w:rsidRDefault="0081172B" w:rsidP="0081172B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wskazanie oraz załączenie wszelkiej dokumentacji dotyczącej </w:t>
      </w:r>
      <w:r w:rsidR="00AE66E2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, która nie została do daty </w:t>
      </w:r>
      <w:r w:rsidR="008343A5" w:rsidRPr="0022771F">
        <w:rPr>
          <w:rFonts w:asciiTheme="minorHAnsi" w:hAnsiTheme="minorHAnsi" w:cstheme="minorHAnsi"/>
          <w:sz w:val="20"/>
          <w:szCs w:val="20"/>
        </w:rPr>
        <w:t>podpisania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protokołu zwrotu przekazana Podmiotowi Publicznemu,</w:t>
      </w:r>
    </w:p>
    <w:p w14:paraId="730032C0" w14:textId="77777777" w:rsidR="0081172B" w:rsidRPr="0022771F" w:rsidRDefault="0081172B" w:rsidP="0081172B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wskazanie wszelkich umów i innych praw, o ile podlegają przeniesieniu na Podmiot Publiczny.</w:t>
      </w:r>
    </w:p>
    <w:p w14:paraId="69A7F425" w14:textId="0B200750" w:rsidR="0081172B" w:rsidRPr="0022771F" w:rsidRDefault="0081172B" w:rsidP="0081172B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 przypadku gdy </w:t>
      </w:r>
      <w:r w:rsidR="007E47B7" w:rsidRPr="0022771F">
        <w:rPr>
          <w:rFonts w:asciiTheme="minorHAnsi" w:hAnsiTheme="minorHAnsi" w:cstheme="minorHAnsi"/>
          <w:sz w:val="20"/>
          <w:szCs w:val="20"/>
        </w:rPr>
        <w:t>Partner Prywatny</w:t>
      </w:r>
      <w:r w:rsidR="00676098">
        <w:rPr>
          <w:rFonts w:asciiTheme="minorHAnsi" w:hAnsiTheme="minorHAnsi" w:cstheme="minorHAnsi"/>
          <w:sz w:val="20"/>
          <w:szCs w:val="20"/>
        </w:rPr>
        <w:t>/ Podmiot Publiczny</w:t>
      </w:r>
      <w:r w:rsidR="007E47B7" w:rsidRPr="0022771F">
        <w:rPr>
          <w:rFonts w:asciiTheme="minorHAnsi" w:hAnsiTheme="minorHAnsi" w:cstheme="minorHAnsi"/>
          <w:sz w:val="20"/>
          <w:szCs w:val="20"/>
        </w:rPr>
        <w:t xml:space="preserve"> będzie uchylać się od sporządzenia protokołu zwrotu, albo </w:t>
      </w:r>
      <w:r w:rsidRPr="0022771F">
        <w:rPr>
          <w:rFonts w:asciiTheme="minorHAnsi" w:hAnsiTheme="minorHAnsi" w:cstheme="minorHAnsi"/>
          <w:sz w:val="20"/>
          <w:szCs w:val="20"/>
        </w:rPr>
        <w:t xml:space="preserve">którakolwiek ze Stron będzie uchylać się </w:t>
      </w:r>
      <w:r w:rsidR="00E57524" w:rsidRPr="0022771F">
        <w:rPr>
          <w:rFonts w:asciiTheme="minorHAnsi" w:hAnsiTheme="minorHAnsi" w:cstheme="minorHAnsi"/>
          <w:sz w:val="20"/>
          <w:szCs w:val="20"/>
        </w:rPr>
        <w:t>od podpisania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protokołu zwrotu, druga Strona może wyznaczyć Stronie uchylającej się</w:t>
      </w:r>
      <w:r w:rsidR="00045FCC">
        <w:rPr>
          <w:rFonts w:asciiTheme="minorHAnsi" w:hAnsiTheme="minorHAnsi" w:cstheme="minorHAnsi"/>
          <w:sz w:val="20"/>
          <w:szCs w:val="20"/>
        </w:rPr>
        <w:t xml:space="preserve"> siedem (</w:t>
      </w:r>
      <w:r w:rsidRPr="0022771F">
        <w:rPr>
          <w:rFonts w:asciiTheme="minorHAnsi" w:hAnsiTheme="minorHAnsi" w:cstheme="minorHAnsi"/>
          <w:sz w:val="20"/>
          <w:szCs w:val="20"/>
        </w:rPr>
        <w:t>7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Pr="0022771F">
        <w:rPr>
          <w:rFonts w:asciiTheme="minorHAnsi" w:hAnsiTheme="minorHAnsi" w:cstheme="minorHAnsi"/>
          <w:sz w:val="20"/>
          <w:szCs w:val="20"/>
        </w:rPr>
        <w:t xml:space="preserve"> Dni Roboczych na sporządzenie lub podpisanie protokołu zwrotu, a w przypadku bezskutecznego upływu tego terminu, uznaje się, że Strona uchylająca się sporządziła lub podpisała protokół zwrotu bez zastrzeżeń.</w:t>
      </w:r>
    </w:p>
    <w:p w14:paraId="6B4E2E25" w14:textId="1C49B107" w:rsidR="006F1C60" w:rsidRPr="0022771F" w:rsidRDefault="006F1C60" w:rsidP="0081172B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Zwrot w Dacie Rozwiązania Umowy </w:t>
      </w:r>
      <w:r w:rsidR="00C22024" w:rsidRPr="0022771F">
        <w:rPr>
          <w:rFonts w:asciiTheme="minorHAnsi" w:hAnsiTheme="minorHAnsi" w:cstheme="minorHAnsi"/>
          <w:sz w:val="20"/>
          <w:szCs w:val="20"/>
        </w:rPr>
        <w:t xml:space="preserve">przypadający </w:t>
      </w:r>
      <w:r w:rsidRPr="0022771F">
        <w:rPr>
          <w:rFonts w:asciiTheme="minorHAnsi" w:hAnsiTheme="minorHAnsi" w:cstheme="minorHAnsi"/>
          <w:sz w:val="20"/>
          <w:szCs w:val="20"/>
        </w:rPr>
        <w:t>prze</w:t>
      </w:r>
      <w:r w:rsidR="0095374F" w:rsidRPr="0022771F">
        <w:rPr>
          <w:rFonts w:asciiTheme="minorHAnsi" w:hAnsiTheme="minorHAnsi" w:cstheme="minorHAnsi"/>
          <w:sz w:val="20"/>
          <w:szCs w:val="20"/>
        </w:rPr>
        <w:t>d</w:t>
      </w:r>
      <w:r w:rsidRPr="0022771F">
        <w:rPr>
          <w:rFonts w:asciiTheme="minorHAnsi" w:hAnsiTheme="minorHAnsi" w:cstheme="minorHAnsi"/>
          <w:sz w:val="20"/>
          <w:szCs w:val="20"/>
        </w:rPr>
        <w:t xml:space="preserve"> Datą Zakończenia </w:t>
      </w:r>
      <w:r w:rsidR="00045189" w:rsidRPr="0022771F">
        <w:rPr>
          <w:rFonts w:asciiTheme="minorHAnsi" w:hAnsiTheme="minorHAnsi" w:cstheme="minorHAnsi"/>
          <w:sz w:val="20"/>
          <w:szCs w:val="20"/>
        </w:rPr>
        <w:t>Robót</w:t>
      </w:r>
    </w:p>
    <w:p w14:paraId="42FB8D82" w14:textId="77777777" w:rsidR="001E1052" w:rsidRPr="0022771F" w:rsidRDefault="001E1052" w:rsidP="001E1052">
      <w:pPr>
        <w:pStyle w:val="Level2"/>
        <w:tabs>
          <w:tab w:val="clear" w:pos="3261"/>
        </w:tabs>
        <w:ind w:left="709"/>
        <w:rPr>
          <w:rFonts w:asciiTheme="minorHAnsi" w:hAnsiTheme="minorHAnsi" w:cstheme="minorHAnsi"/>
          <w:b/>
          <w:sz w:val="20"/>
          <w:szCs w:val="20"/>
        </w:rPr>
      </w:pPr>
      <w:r w:rsidRPr="0022771F">
        <w:rPr>
          <w:rFonts w:asciiTheme="minorHAnsi" w:hAnsiTheme="minorHAnsi" w:cstheme="minorHAnsi"/>
          <w:b/>
          <w:sz w:val="20"/>
          <w:szCs w:val="20"/>
        </w:rPr>
        <w:t>Procedura zwrotu</w:t>
      </w:r>
    </w:p>
    <w:p w14:paraId="477097F5" w14:textId="439F2158" w:rsidR="001E1052" w:rsidRPr="0022771F" w:rsidRDefault="001E1052" w:rsidP="001E1052">
      <w:pPr>
        <w:pStyle w:val="Body2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Strony przeprowadzą kontrolę </w:t>
      </w:r>
      <w:r w:rsidR="00045189" w:rsidRPr="0022771F">
        <w:rPr>
          <w:rFonts w:asciiTheme="minorHAnsi" w:hAnsiTheme="minorHAnsi" w:cstheme="minorHAnsi"/>
          <w:sz w:val="20"/>
          <w:szCs w:val="20"/>
        </w:rPr>
        <w:t>Obiekt</w:t>
      </w:r>
      <w:r w:rsidR="00617F20" w:rsidRPr="0022771F">
        <w:rPr>
          <w:rFonts w:asciiTheme="minorHAnsi" w:hAnsiTheme="minorHAnsi" w:cstheme="minorHAnsi"/>
          <w:sz w:val="20"/>
          <w:szCs w:val="20"/>
        </w:rPr>
        <w:t>ów</w:t>
      </w:r>
      <w:r w:rsidRPr="0022771F">
        <w:rPr>
          <w:rFonts w:asciiTheme="minorHAnsi" w:hAnsiTheme="minorHAnsi" w:cstheme="minorHAnsi"/>
          <w:sz w:val="20"/>
          <w:szCs w:val="20"/>
        </w:rPr>
        <w:t xml:space="preserve"> w terminie wskazanym przez Podmiot Publiczny, nie </w:t>
      </w:r>
      <w:r w:rsidR="0044289D" w:rsidRPr="0022771F">
        <w:rPr>
          <w:rFonts w:asciiTheme="minorHAnsi" w:hAnsiTheme="minorHAnsi" w:cstheme="minorHAnsi"/>
          <w:sz w:val="20"/>
          <w:szCs w:val="20"/>
        </w:rPr>
        <w:t xml:space="preserve">późniejszym niż </w:t>
      </w:r>
      <w:r w:rsidR="00045FCC">
        <w:rPr>
          <w:rFonts w:asciiTheme="minorHAnsi" w:hAnsiTheme="minorHAnsi" w:cstheme="minorHAnsi"/>
          <w:sz w:val="20"/>
          <w:szCs w:val="20"/>
        </w:rPr>
        <w:t>trzydzieści (</w:t>
      </w:r>
      <w:r w:rsidR="0044289D" w:rsidRPr="0022771F">
        <w:rPr>
          <w:rFonts w:asciiTheme="minorHAnsi" w:hAnsiTheme="minorHAnsi" w:cstheme="minorHAnsi"/>
          <w:sz w:val="20"/>
          <w:szCs w:val="20"/>
        </w:rPr>
        <w:t>30</w:t>
      </w:r>
      <w:r w:rsidR="00045FCC">
        <w:rPr>
          <w:rFonts w:asciiTheme="minorHAnsi" w:hAnsiTheme="minorHAnsi" w:cstheme="minorHAnsi"/>
          <w:sz w:val="20"/>
          <w:szCs w:val="20"/>
        </w:rPr>
        <w:t>)</w:t>
      </w:r>
      <w:r w:rsidR="0044289D" w:rsidRPr="0022771F">
        <w:rPr>
          <w:rFonts w:asciiTheme="minorHAnsi" w:hAnsiTheme="minorHAnsi" w:cstheme="minorHAnsi"/>
          <w:sz w:val="20"/>
          <w:szCs w:val="20"/>
        </w:rPr>
        <w:t xml:space="preserve"> Dni </w:t>
      </w:r>
      <w:r w:rsidR="00AF7190" w:rsidRPr="0022771F">
        <w:rPr>
          <w:rFonts w:asciiTheme="minorHAnsi" w:hAnsiTheme="minorHAnsi" w:cstheme="minorHAnsi"/>
          <w:sz w:val="20"/>
          <w:szCs w:val="20"/>
        </w:rPr>
        <w:t xml:space="preserve">przed </w:t>
      </w:r>
      <w:r w:rsidR="00F7702A" w:rsidRPr="0022771F">
        <w:rPr>
          <w:rFonts w:asciiTheme="minorHAnsi" w:hAnsiTheme="minorHAnsi" w:cstheme="minorHAnsi"/>
          <w:sz w:val="20"/>
          <w:szCs w:val="20"/>
        </w:rPr>
        <w:t xml:space="preserve">przewidywaną Datą </w:t>
      </w:r>
      <w:r w:rsidRPr="0022771F">
        <w:rPr>
          <w:rFonts w:asciiTheme="minorHAnsi" w:hAnsiTheme="minorHAnsi" w:cstheme="minorHAnsi"/>
          <w:sz w:val="20"/>
          <w:szCs w:val="20"/>
        </w:rPr>
        <w:t>Rozwiązania Umowy.</w:t>
      </w:r>
    </w:p>
    <w:p w14:paraId="1ED1D026" w14:textId="77777777" w:rsidR="00C92AA6" w:rsidRPr="00C92AA6" w:rsidRDefault="00C92AA6" w:rsidP="00C92AA6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C92AA6">
        <w:rPr>
          <w:rFonts w:asciiTheme="minorHAnsi" w:hAnsiTheme="minorHAnsi" w:cstheme="minorHAnsi"/>
          <w:sz w:val="20"/>
          <w:szCs w:val="20"/>
        </w:rPr>
        <w:t>Partner Prywatny jest zobowiązany do przekazania Podmiotowi Publicznemu uporządkowanej, spójnej i kompletnej oraz zgodnej z Przepisami Prawa wytworzonej przez niego dokumentacji dotyczącej ewidencji i stanu Obiektów według stanu na Datę Zakończenia Umowy w ilościach egzemplarzy i w formie określonej w Punkcie 8.1.5 Umowy;</w:t>
      </w:r>
    </w:p>
    <w:p w14:paraId="58B708C5" w14:textId="1E6EED7A" w:rsidR="00F74DEC" w:rsidRDefault="00F74DEC" w:rsidP="00DC2BFC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F74DEC">
        <w:rPr>
          <w:rFonts w:asciiTheme="minorHAnsi" w:hAnsiTheme="minorHAnsi" w:cstheme="minorHAnsi"/>
          <w:sz w:val="20"/>
          <w:szCs w:val="20"/>
        </w:rPr>
        <w:t>Dokumentacja przekazywana w wersji  elektronicznej, edytowalnej powinna umożliwiać w pełni wykonywanie przez Podmiot Publiczny zależnych praw autorskich. w sposób umożliwiający nieograniczone korzystanie z niej przez Podmiot Publiczny.</w:t>
      </w:r>
    </w:p>
    <w:p w14:paraId="41B9A4B3" w14:textId="54ABAA74" w:rsidR="001E1052" w:rsidRPr="0022771F" w:rsidRDefault="00045189" w:rsidP="001E1052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Przekazanie </w:t>
      </w:r>
      <w:r w:rsidR="0010029B" w:rsidRPr="0022771F">
        <w:rPr>
          <w:rFonts w:asciiTheme="minorHAnsi" w:hAnsiTheme="minorHAnsi" w:cstheme="minorHAnsi"/>
          <w:sz w:val="20"/>
          <w:szCs w:val="20"/>
        </w:rPr>
        <w:t xml:space="preserve">Terenu </w:t>
      </w:r>
      <w:r w:rsidR="002965CF">
        <w:rPr>
          <w:rFonts w:asciiTheme="minorHAnsi" w:hAnsiTheme="minorHAnsi" w:cstheme="minorHAnsi"/>
          <w:sz w:val="20"/>
          <w:szCs w:val="20"/>
        </w:rPr>
        <w:t>Robót</w:t>
      </w:r>
      <w:r w:rsidR="002965CF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1E1052" w:rsidRPr="0022771F">
        <w:rPr>
          <w:rFonts w:asciiTheme="minorHAnsi" w:hAnsiTheme="minorHAnsi" w:cstheme="minorHAnsi"/>
          <w:sz w:val="20"/>
          <w:szCs w:val="20"/>
        </w:rPr>
        <w:t>zostanie potwierdzon</w:t>
      </w:r>
      <w:r w:rsidRPr="0022771F">
        <w:rPr>
          <w:rFonts w:asciiTheme="minorHAnsi" w:hAnsiTheme="minorHAnsi" w:cstheme="minorHAnsi"/>
          <w:sz w:val="20"/>
          <w:szCs w:val="20"/>
        </w:rPr>
        <w:t>e</w:t>
      </w:r>
      <w:r w:rsidR="001E1052" w:rsidRPr="0022771F">
        <w:rPr>
          <w:rFonts w:asciiTheme="minorHAnsi" w:hAnsiTheme="minorHAnsi" w:cstheme="minorHAnsi"/>
          <w:sz w:val="20"/>
          <w:szCs w:val="20"/>
        </w:rPr>
        <w:t xml:space="preserve"> protokołem, podpisanym przez obydwie Strony najpóźniej w Dacie </w:t>
      </w:r>
      <w:r w:rsidR="008343A5" w:rsidRPr="0022771F">
        <w:rPr>
          <w:rFonts w:asciiTheme="minorHAnsi" w:hAnsiTheme="minorHAnsi" w:cstheme="minorHAnsi"/>
          <w:sz w:val="20"/>
          <w:szCs w:val="20"/>
        </w:rPr>
        <w:t>Rozwiązania Umowy</w:t>
      </w:r>
      <w:r w:rsidR="001E1052" w:rsidRPr="0022771F">
        <w:rPr>
          <w:rFonts w:asciiTheme="minorHAnsi" w:hAnsiTheme="minorHAnsi" w:cstheme="minorHAnsi"/>
          <w:sz w:val="20"/>
          <w:szCs w:val="20"/>
        </w:rPr>
        <w:t>.</w:t>
      </w:r>
      <w:r w:rsidR="00DF1B92" w:rsidRPr="0022771F">
        <w:rPr>
          <w:rFonts w:asciiTheme="minorHAnsi" w:hAnsiTheme="minorHAnsi" w:cstheme="minorHAnsi"/>
          <w:sz w:val="20"/>
          <w:szCs w:val="20"/>
        </w:rPr>
        <w:t xml:space="preserve"> </w:t>
      </w:r>
      <w:r w:rsidR="007E47B7" w:rsidRPr="0022771F">
        <w:rPr>
          <w:rFonts w:asciiTheme="minorHAnsi" w:hAnsiTheme="minorHAnsi" w:cstheme="minorHAnsi"/>
          <w:sz w:val="20"/>
          <w:szCs w:val="20"/>
        </w:rPr>
        <w:t xml:space="preserve">Protokół sporządzi Partner Prywatny. </w:t>
      </w:r>
      <w:r w:rsidR="001E1052" w:rsidRPr="0022771F">
        <w:rPr>
          <w:rFonts w:asciiTheme="minorHAnsi" w:hAnsiTheme="minorHAnsi" w:cstheme="minorHAnsi"/>
          <w:sz w:val="20"/>
          <w:szCs w:val="20"/>
        </w:rPr>
        <w:t>Protokół powinien zawierać:</w:t>
      </w:r>
    </w:p>
    <w:p w14:paraId="5E2C7664" w14:textId="609A14A7" w:rsidR="001E1052" w:rsidRPr="0022771F" w:rsidRDefault="001E1052" w:rsidP="001E1052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opis stanu zwracan</w:t>
      </w:r>
      <w:r w:rsidR="00045189" w:rsidRPr="0022771F">
        <w:rPr>
          <w:rFonts w:asciiTheme="minorHAnsi" w:hAnsiTheme="minorHAnsi" w:cstheme="minorHAnsi"/>
          <w:sz w:val="20"/>
          <w:szCs w:val="20"/>
        </w:rPr>
        <w:t xml:space="preserve">ego </w:t>
      </w:r>
      <w:r w:rsidR="0010029B" w:rsidRPr="0022771F">
        <w:rPr>
          <w:rFonts w:asciiTheme="minorHAnsi" w:hAnsiTheme="minorHAnsi" w:cstheme="minorHAnsi"/>
          <w:sz w:val="20"/>
          <w:szCs w:val="20"/>
        </w:rPr>
        <w:t xml:space="preserve">Terenu </w:t>
      </w:r>
      <w:r w:rsidR="00B30BD4">
        <w:rPr>
          <w:rFonts w:asciiTheme="minorHAnsi" w:hAnsiTheme="minorHAnsi" w:cstheme="minorHAnsi"/>
          <w:sz w:val="20"/>
          <w:szCs w:val="20"/>
        </w:rPr>
        <w:t>Robót</w:t>
      </w:r>
      <w:r w:rsidRPr="0022771F">
        <w:rPr>
          <w:rFonts w:asciiTheme="minorHAnsi" w:hAnsiTheme="minorHAnsi" w:cstheme="minorHAnsi"/>
          <w:sz w:val="20"/>
          <w:szCs w:val="20"/>
        </w:rPr>
        <w:t xml:space="preserve">, w szczególności poprzez załączenie </w:t>
      </w:r>
      <w:r w:rsidR="00F77962" w:rsidRPr="0022771F">
        <w:rPr>
          <w:rFonts w:asciiTheme="minorHAnsi" w:hAnsiTheme="minorHAnsi" w:cstheme="minorHAnsi"/>
          <w:sz w:val="20"/>
          <w:szCs w:val="20"/>
        </w:rPr>
        <w:t>d</w:t>
      </w:r>
      <w:r w:rsidRPr="0022771F">
        <w:rPr>
          <w:rFonts w:asciiTheme="minorHAnsi" w:hAnsiTheme="minorHAnsi" w:cstheme="minorHAnsi"/>
          <w:sz w:val="20"/>
          <w:szCs w:val="20"/>
        </w:rPr>
        <w:t>okumentacji o której mowa w punkcie (</w:t>
      </w:r>
      <w:r w:rsidR="00F77962" w:rsidRPr="0022771F">
        <w:rPr>
          <w:rFonts w:asciiTheme="minorHAnsi" w:hAnsiTheme="minorHAnsi" w:cstheme="minorHAnsi"/>
          <w:sz w:val="20"/>
          <w:szCs w:val="20"/>
        </w:rPr>
        <w:t>a</w:t>
      </w:r>
      <w:r w:rsidRPr="0022771F">
        <w:rPr>
          <w:rFonts w:asciiTheme="minorHAnsi" w:hAnsiTheme="minorHAnsi" w:cstheme="minorHAnsi"/>
          <w:sz w:val="20"/>
          <w:szCs w:val="20"/>
        </w:rPr>
        <w:t xml:space="preserve">)  powyżej, </w:t>
      </w:r>
      <w:r w:rsidR="00C53AB8" w:rsidRPr="00C53AB8">
        <w:rPr>
          <w:rFonts w:asciiTheme="minorHAnsi" w:hAnsiTheme="minorHAnsi" w:cstheme="minorHAnsi"/>
          <w:sz w:val="20"/>
          <w:szCs w:val="20"/>
        </w:rPr>
        <w:t>a także wskazanie zastrzeżeń lub rozbieżności Stron (o ile dotyczy);</w:t>
      </w:r>
      <w:r w:rsidRPr="0022771F">
        <w:rPr>
          <w:rFonts w:asciiTheme="minorHAnsi" w:hAnsiTheme="minorHAnsi" w:cstheme="minorHAnsi"/>
          <w:sz w:val="20"/>
          <w:szCs w:val="20"/>
        </w:rPr>
        <w:t>,</w:t>
      </w:r>
    </w:p>
    <w:p w14:paraId="6AC6CC4B" w14:textId="607A3990" w:rsidR="001E1052" w:rsidRPr="0022771F" w:rsidRDefault="001E1052" w:rsidP="001E1052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wskazanie oraz załączenie wszelkiej dokumentacji dotyczącej </w:t>
      </w:r>
      <w:r w:rsidR="00045189" w:rsidRPr="0022771F">
        <w:rPr>
          <w:rFonts w:asciiTheme="minorHAnsi" w:hAnsiTheme="minorHAnsi" w:cstheme="minorHAnsi"/>
          <w:sz w:val="20"/>
          <w:szCs w:val="20"/>
        </w:rPr>
        <w:t>wykonanych Robót</w:t>
      </w:r>
      <w:r w:rsidRPr="0022771F">
        <w:rPr>
          <w:rFonts w:asciiTheme="minorHAnsi" w:hAnsiTheme="minorHAnsi" w:cstheme="minorHAnsi"/>
          <w:sz w:val="20"/>
          <w:szCs w:val="20"/>
        </w:rPr>
        <w:t xml:space="preserve">, która nie została do daty </w:t>
      </w:r>
      <w:r w:rsidR="008343A5" w:rsidRPr="0022771F">
        <w:rPr>
          <w:rFonts w:asciiTheme="minorHAnsi" w:hAnsiTheme="minorHAnsi" w:cstheme="minorHAnsi"/>
          <w:sz w:val="20"/>
          <w:szCs w:val="20"/>
        </w:rPr>
        <w:t>podpisania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protokołu zwrotu przekazana Podmiotowi Publicznemu,</w:t>
      </w:r>
    </w:p>
    <w:p w14:paraId="67983DA6" w14:textId="4C9643E6" w:rsidR="001E1052" w:rsidRPr="0022771F" w:rsidRDefault="001E1052" w:rsidP="001E1052">
      <w:pPr>
        <w:pStyle w:val="Level4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>wskazanie wszelkich umów i innych praw, o ile podlegają przeniesieniu na Podmiot Publiczny</w:t>
      </w:r>
      <w:r w:rsidR="009B2C74">
        <w:rPr>
          <w:rFonts w:asciiTheme="minorHAnsi" w:hAnsiTheme="minorHAnsi" w:cstheme="minorHAnsi"/>
          <w:sz w:val="20"/>
          <w:szCs w:val="20"/>
        </w:rPr>
        <w:t>.</w:t>
      </w:r>
    </w:p>
    <w:p w14:paraId="5681F26E" w14:textId="2AEF7F10" w:rsidR="001E1052" w:rsidRPr="0022771F" w:rsidRDefault="001E1052" w:rsidP="001E1052">
      <w:pPr>
        <w:pStyle w:val="Level3"/>
        <w:rPr>
          <w:rFonts w:asciiTheme="minorHAnsi" w:hAnsiTheme="minorHAnsi" w:cstheme="minorHAnsi"/>
          <w:sz w:val="20"/>
          <w:szCs w:val="20"/>
        </w:rPr>
      </w:pPr>
      <w:r w:rsidRPr="0022771F">
        <w:rPr>
          <w:rFonts w:asciiTheme="minorHAnsi" w:hAnsiTheme="minorHAnsi" w:cstheme="minorHAnsi"/>
          <w:sz w:val="20"/>
          <w:szCs w:val="20"/>
        </w:rPr>
        <w:t xml:space="preserve">W przypadku gdy </w:t>
      </w:r>
      <w:r w:rsidR="007E47B7" w:rsidRPr="0022771F">
        <w:rPr>
          <w:rFonts w:asciiTheme="minorHAnsi" w:hAnsiTheme="minorHAnsi" w:cstheme="minorHAnsi"/>
          <w:sz w:val="20"/>
          <w:szCs w:val="20"/>
        </w:rPr>
        <w:t>Partner Prywatny</w:t>
      </w:r>
      <w:r w:rsidR="00676098">
        <w:rPr>
          <w:rFonts w:asciiTheme="minorHAnsi" w:hAnsiTheme="minorHAnsi" w:cstheme="minorHAnsi"/>
          <w:sz w:val="20"/>
          <w:szCs w:val="20"/>
        </w:rPr>
        <w:t>/Podmiot Publiczny</w:t>
      </w:r>
      <w:r w:rsidR="007E47B7" w:rsidRPr="0022771F">
        <w:rPr>
          <w:rFonts w:asciiTheme="minorHAnsi" w:hAnsiTheme="minorHAnsi" w:cstheme="minorHAnsi"/>
          <w:sz w:val="20"/>
          <w:szCs w:val="20"/>
        </w:rPr>
        <w:t xml:space="preserve"> będzie uchylać się od sporządzenia protokołu zwrotu, albo </w:t>
      </w:r>
      <w:r w:rsidRPr="0022771F">
        <w:rPr>
          <w:rFonts w:asciiTheme="minorHAnsi" w:hAnsiTheme="minorHAnsi" w:cstheme="minorHAnsi"/>
          <w:sz w:val="20"/>
          <w:szCs w:val="20"/>
        </w:rPr>
        <w:t xml:space="preserve">którakolwiek ze Stron będzie uchylać się </w:t>
      </w:r>
      <w:r w:rsidR="00E57524" w:rsidRPr="0022771F">
        <w:rPr>
          <w:rFonts w:asciiTheme="minorHAnsi" w:hAnsiTheme="minorHAnsi" w:cstheme="minorHAnsi"/>
          <w:sz w:val="20"/>
          <w:szCs w:val="20"/>
        </w:rPr>
        <w:t>od podpisania</w:t>
      </w:r>
      <w:r w:rsidRPr="0022771F">
        <w:rPr>
          <w:rFonts w:asciiTheme="minorHAnsi" w:hAnsiTheme="minorHAnsi" w:cstheme="minorHAnsi"/>
          <w:sz w:val="20"/>
          <w:szCs w:val="20"/>
        </w:rPr>
        <w:t xml:space="preserve"> protokołu zwrotu, druga Strona może wyznaczyć Stronie uchylającej się </w:t>
      </w:r>
      <w:r w:rsidR="00045FCC">
        <w:rPr>
          <w:rFonts w:asciiTheme="minorHAnsi" w:hAnsiTheme="minorHAnsi" w:cstheme="minorHAnsi"/>
          <w:sz w:val="20"/>
          <w:szCs w:val="20"/>
        </w:rPr>
        <w:t>siedem (7)</w:t>
      </w:r>
      <w:r w:rsidRPr="0022771F">
        <w:rPr>
          <w:rFonts w:asciiTheme="minorHAnsi" w:hAnsiTheme="minorHAnsi" w:cstheme="minorHAnsi"/>
          <w:sz w:val="20"/>
          <w:szCs w:val="20"/>
        </w:rPr>
        <w:t xml:space="preserve"> Dni Roboczych na sporządzenie lub podpisanie protokołu zwrotu, a w przypadku bezskutecznego upływu tego terminu, uznaje się, że Strona uchylająca się sporządziła lub podpisała protokół zwrotu bez zastrzeżeń.</w:t>
      </w:r>
    </w:p>
    <w:p w14:paraId="523E39BB" w14:textId="77777777" w:rsidR="006F1C60" w:rsidRPr="0022771F" w:rsidRDefault="006F1C60" w:rsidP="006F1C60">
      <w:pPr>
        <w:pStyle w:val="Body2"/>
        <w:rPr>
          <w:rFonts w:asciiTheme="minorHAnsi" w:hAnsiTheme="minorHAnsi" w:cstheme="minorHAnsi"/>
          <w:sz w:val="20"/>
          <w:szCs w:val="20"/>
        </w:rPr>
      </w:pPr>
    </w:p>
    <w:p w14:paraId="3839979F" w14:textId="77777777" w:rsidR="006F1C60" w:rsidRPr="0022771F" w:rsidRDefault="006F1C60" w:rsidP="006F1C60">
      <w:pPr>
        <w:pStyle w:val="Body2"/>
        <w:rPr>
          <w:rFonts w:asciiTheme="minorHAnsi" w:hAnsiTheme="minorHAnsi" w:cstheme="minorHAnsi"/>
          <w:sz w:val="20"/>
          <w:szCs w:val="20"/>
        </w:rPr>
      </w:pPr>
    </w:p>
    <w:p w14:paraId="147A7CB1" w14:textId="77777777" w:rsidR="001F1DF1" w:rsidRPr="0022771F" w:rsidRDefault="001F1DF1">
      <w:pPr>
        <w:rPr>
          <w:rFonts w:asciiTheme="minorHAnsi" w:hAnsiTheme="minorHAnsi" w:cstheme="minorHAnsi"/>
          <w:sz w:val="20"/>
          <w:szCs w:val="20"/>
        </w:rPr>
      </w:pPr>
    </w:p>
    <w:sectPr w:rsidR="001F1DF1" w:rsidRPr="0022771F" w:rsidSect="00AF7190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0CCA" w14:textId="77777777" w:rsidR="000E6107" w:rsidRDefault="000E6107">
      <w:pPr>
        <w:spacing w:line="240" w:lineRule="auto"/>
      </w:pPr>
      <w:r>
        <w:separator/>
      </w:r>
    </w:p>
  </w:endnote>
  <w:endnote w:type="continuationSeparator" w:id="0">
    <w:p w14:paraId="4A65E0D9" w14:textId="77777777" w:rsidR="000E6107" w:rsidRDefault="000E6107">
      <w:pPr>
        <w:spacing w:line="240" w:lineRule="auto"/>
      </w:pPr>
      <w:r>
        <w:continuationSeparator/>
      </w:r>
    </w:p>
  </w:endnote>
  <w:endnote w:type="continuationNotice" w:id="1">
    <w:p w14:paraId="75EA2A0D" w14:textId="77777777" w:rsidR="000E6107" w:rsidRDefault="000E61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D29C" w14:textId="77777777" w:rsidR="000E6107" w:rsidRDefault="000E6107">
      <w:pPr>
        <w:spacing w:line="240" w:lineRule="auto"/>
      </w:pPr>
      <w:r>
        <w:separator/>
      </w:r>
    </w:p>
  </w:footnote>
  <w:footnote w:type="continuationSeparator" w:id="0">
    <w:p w14:paraId="00135BB7" w14:textId="77777777" w:rsidR="000E6107" w:rsidRDefault="000E6107">
      <w:pPr>
        <w:spacing w:line="240" w:lineRule="auto"/>
      </w:pPr>
      <w:r>
        <w:continuationSeparator/>
      </w:r>
    </w:p>
  </w:footnote>
  <w:footnote w:type="continuationNotice" w:id="1">
    <w:p w14:paraId="2C8695C1" w14:textId="77777777" w:rsidR="000E6107" w:rsidRDefault="000E61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F7E70" w14:textId="77777777" w:rsidR="00AF7190" w:rsidRDefault="00AF7190" w:rsidP="008660CB">
    <w:pPr>
      <w:pStyle w:val="Nagwek"/>
      <w:jc w:val="left"/>
    </w:pPr>
  </w:p>
  <w:p w14:paraId="56F28B71" w14:textId="77777777" w:rsidR="00AF7190" w:rsidRDefault="00AF7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F7D"/>
    <w:multiLevelType w:val="multilevel"/>
    <w:tmpl w:val="04965DFC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3261"/>
        </w:tabs>
        <w:ind w:left="3261" w:hanging="709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7B15D1A"/>
    <w:multiLevelType w:val="hybridMultilevel"/>
    <w:tmpl w:val="EF3EC45E"/>
    <w:lvl w:ilvl="0" w:tplc="04150011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60"/>
    <w:rsid w:val="00033E4A"/>
    <w:rsid w:val="00034817"/>
    <w:rsid w:val="00043B43"/>
    <w:rsid w:val="00045189"/>
    <w:rsid w:val="00045FCC"/>
    <w:rsid w:val="000669F3"/>
    <w:rsid w:val="00070BF6"/>
    <w:rsid w:val="00074E2F"/>
    <w:rsid w:val="00080E8A"/>
    <w:rsid w:val="000A3923"/>
    <w:rsid w:val="000D610C"/>
    <w:rsid w:val="000E6107"/>
    <w:rsid w:val="000F5DF8"/>
    <w:rsid w:val="0010029B"/>
    <w:rsid w:val="001141E7"/>
    <w:rsid w:val="00116832"/>
    <w:rsid w:val="00116DE9"/>
    <w:rsid w:val="00125472"/>
    <w:rsid w:val="00130D69"/>
    <w:rsid w:val="00142CC1"/>
    <w:rsid w:val="00162AA5"/>
    <w:rsid w:val="00196E2A"/>
    <w:rsid w:val="001A22A3"/>
    <w:rsid w:val="001A489E"/>
    <w:rsid w:val="001B42A8"/>
    <w:rsid w:val="001C0AAE"/>
    <w:rsid w:val="001E1052"/>
    <w:rsid w:val="001E56CD"/>
    <w:rsid w:val="001F1DF1"/>
    <w:rsid w:val="002047E1"/>
    <w:rsid w:val="00211F4C"/>
    <w:rsid w:val="0022771F"/>
    <w:rsid w:val="0026172C"/>
    <w:rsid w:val="00264B82"/>
    <w:rsid w:val="002874B1"/>
    <w:rsid w:val="00287986"/>
    <w:rsid w:val="002965CF"/>
    <w:rsid w:val="002C775C"/>
    <w:rsid w:val="00302018"/>
    <w:rsid w:val="00317EA4"/>
    <w:rsid w:val="00357DCF"/>
    <w:rsid w:val="003B0DC8"/>
    <w:rsid w:val="003B7A9E"/>
    <w:rsid w:val="003C0034"/>
    <w:rsid w:val="003C0E7C"/>
    <w:rsid w:val="003E0C0E"/>
    <w:rsid w:val="003E51EB"/>
    <w:rsid w:val="003F31CF"/>
    <w:rsid w:val="003F5788"/>
    <w:rsid w:val="003F5DC3"/>
    <w:rsid w:val="00415E34"/>
    <w:rsid w:val="00431DD5"/>
    <w:rsid w:val="00434B41"/>
    <w:rsid w:val="00440905"/>
    <w:rsid w:val="0044289D"/>
    <w:rsid w:val="00460C1F"/>
    <w:rsid w:val="00475D86"/>
    <w:rsid w:val="004A39F2"/>
    <w:rsid w:val="004C1B3C"/>
    <w:rsid w:val="004D2201"/>
    <w:rsid w:val="004E5D71"/>
    <w:rsid w:val="004F47E1"/>
    <w:rsid w:val="0050160A"/>
    <w:rsid w:val="0051731C"/>
    <w:rsid w:val="005853C2"/>
    <w:rsid w:val="005B55D6"/>
    <w:rsid w:val="005C37B7"/>
    <w:rsid w:val="005C788E"/>
    <w:rsid w:val="005E7C99"/>
    <w:rsid w:val="005F4BDE"/>
    <w:rsid w:val="0061291F"/>
    <w:rsid w:val="00615EDB"/>
    <w:rsid w:val="00617F20"/>
    <w:rsid w:val="00641A76"/>
    <w:rsid w:val="00664270"/>
    <w:rsid w:val="00676098"/>
    <w:rsid w:val="00686449"/>
    <w:rsid w:val="00690FA1"/>
    <w:rsid w:val="006C2DE1"/>
    <w:rsid w:val="006D152C"/>
    <w:rsid w:val="006D26B5"/>
    <w:rsid w:val="006D6FF9"/>
    <w:rsid w:val="006F1C60"/>
    <w:rsid w:val="006F626C"/>
    <w:rsid w:val="0076584F"/>
    <w:rsid w:val="00796133"/>
    <w:rsid w:val="007B13C3"/>
    <w:rsid w:val="007D5292"/>
    <w:rsid w:val="007D7487"/>
    <w:rsid w:val="007E47B7"/>
    <w:rsid w:val="007E55AB"/>
    <w:rsid w:val="007F1939"/>
    <w:rsid w:val="007F3207"/>
    <w:rsid w:val="007F64BA"/>
    <w:rsid w:val="0080412B"/>
    <w:rsid w:val="0081172B"/>
    <w:rsid w:val="00813C21"/>
    <w:rsid w:val="00823BBC"/>
    <w:rsid w:val="00830E5E"/>
    <w:rsid w:val="008343A5"/>
    <w:rsid w:val="008352BB"/>
    <w:rsid w:val="00837691"/>
    <w:rsid w:val="0084164E"/>
    <w:rsid w:val="00844EDE"/>
    <w:rsid w:val="00852CEF"/>
    <w:rsid w:val="008605A4"/>
    <w:rsid w:val="008944B5"/>
    <w:rsid w:val="008B71EA"/>
    <w:rsid w:val="00902D1E"/>
    <w:rsid w:val="009103B6"/>
    <w:rsid w:val="00916AD7"/>
    <w:rsid w:val="00925BBE"/>
    <w:rsid w:val="0095374F"/>
    <w:rsid w:val="00962A32"/>
    <w:rsid w:val="009722F3"/>
    <w:rsid w:val="009758B3"/>
    <w:rsid w:val="009B2C74"/>
    <w:rsid w:val="009B63D8"/>
    <w:rsid w:val="009C5DF1"/>
    <w:rsid w:val="009D5213"/>
    <w:rsid w:val="009E704E"/>
    <w:rsid w:val="009F5D9B"/>
    <w:rsid w:val="00A3601A"/>
    <w:rsid w:val="00A458EC"/>
    <w:rsid w:val="00A46BAD"/>
    <w:rsid w:val="00A64D1A"/>
    <w:rsid w:val="00A72D22"/>
    <w:rsid w:val="00A76C4A"/>
    <w:rsid w:val="00AC069A"/>
    <w:rsid w:val="00AD4A9F"/>
    <w:rsid w:val="00AE20A5"/>
    <w:rsid w:val="00AE66E2"/>
    <w:rsid w:val="00AF7190"/>
    <w:rsid w:val="00B06AAD"/>
    <w:rsid w:val="00B30BD4"/>
    <w:rsid w:val="00B47651"/>
    <w:rsid w:val="00B5155E"/>
    <w:rsid w:val="00B66479"/>
    <w:rsid w:val="00BD2BBC"/>
    <w:rsid w:val="00BE0C35"/>
    <w:rsid w:val="00BF56EB"/>
    <w:rsid w:val="00C22024"/>
    <w:rsid w:val="00C31BAB"/>
    <w:rsid w:val="00C53AB8"/>
    <w:rsid w:val="00C64AE1"/>
    <w:rsid w:val="00C71B09"/>
    <w:rsid w:val="00C8545F"/>
    <w:rsid w:val="00C92AA6"/>
    <w:rsid w:val="00CA4906"/>
    <w:rsid w:val="00CA6217"/>
    <w:rsid w:val="00CE094A"/>
    <w:rsid w:val="00CE246F"/>
    <w:rsid w:val="00CE45D6"/>
    <w:rsid w:val="00CE5468"/>
    <w:rsid w:val="00CF1545"/>
    <w:rsid w:val="00CF703B"/>
    <w:rsid w:val="00D02820"/>
    <w:rsid w:val="00D33070"/>
    <w:rsid w:val="00D45E66"/>
    <w:rsid w:val="00D46C50"/>
    <w:rsid w:val="00D759B8"/>
    <w:rsid w:val="00D84B4E"/>
    <w:rsid w:val="00DA068E"/>
    <w:rsid w:val="00DA22A7"/>
    <w:rsid w:val="00DB742C"/>
    <w:rsid w:val="00DC14C9"/>
    <w:rsid w:val="00DC1B8C"/>
    <w:rsid w:val="00DC2BFC"/>
    <w:rsid w:val="00DF1B92"/>
    <w:rsid w:val="00E0374E"/>
    <w:rsid w:val="00E21B70"/>
    <w:rsid w:val="00E30378"/>
    <w:rsid w:val="00E330D1"/>
    <w:rsid w:val="00E33843"/>
    <w:rsid w:val="00E510F5"/>
    <w:rsid w:val="00E57524"/>
    <w:rsid w:val="00E615B8"/>
    <w:rsid w:val="00ED09AE"/>
    <w:rsid w:val="00F1375C"/>
    <w:rsid w:val="00F70748"/>
    <w:rsid w:val="00F74DEC"/>
    <w:rsid w:val="00F7702A"/>
    <w:rsid w:val="00F77962"/>
    <w:rsid w:val="00F8380E"/>
    <w:rsid w:val="00F917EE"/>
    <w:rsid w:val="00FB7AC2"/>
    <w:rsid w:val="00FE4C1D"/>
    <w:rsid w:val="00FE5FE9"/>
    <w:rsid w:val="12C7C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025"/>
  <w15:docId w15:val="{D9E93614-736B-4DFB-A8DE-C8CAAE3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6F1C60"/>
    <w:pPr>
      <w:spacing w:after="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paragraph" w:styleId="Nagwek1">
    <w:name w:val="heading 1"/>
    <w:basedOn w:val="Level1"/>
    <w:next w:val="Body2"/>
    <w:link w:val="Nagwek1Znak"/>
    <w:uiPriority w:val="4"/>
    <w:qFormat/>
    <w:rsid w:val="006F1C60"/>
    <w:pPr>
      <w:keepNext/>
    </w:pPr>
    <w:rPr>
      <w:b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4"/>
    <w:rsid w:val="006F1C60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6F1C60"/>
    <w:pPr>
      <w:ind w:left="720"/>
      <w:contextualSpacing/>
    </w:pPr>
  </w:style>
  <w:style w:type="paragraph" w:customStyle="1" w:styleId="Level1">
    <w:name w:val="Level 1"/>
    <w:basedOn w:val="Normalny"/>
    <w:next w:val="Body2"/>
    <w:qFormat/>
    <w:rsid w:val="006F1C60"/>
    <w:pPr>
      <w:numPr>
        <w:numId w:val="1"/>
      </w:numPr>
      <w:spacing w:after="210"/>
      <w:outlineLvl w:val="0"/>
    </w:pPr>
  </w:style>
  <w:style w:type="paragraph" w:customStyle="1" w:styleId="Level2">
    <w:name w:val="Level 2"/>
    <w:basedOn w:val="Body2"/>
    <w:next w:val="Body2"/>
    <w:link w:val="Level2Char"/>
    <w:uiPriority w:val="1"/>
    <w:qFormat/>
    <w:rsid w:val="006F1C60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2"/>
    <w:qFormat/>
    <w:rsid w:val="006F1C60"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Normalny"/>
    <w:next w:val="Normalny"/>
    <w:uiPriority w:val="3"/>
    <w:qFormat/>
    <w:rsid w:val="006F1C60"/>
    <w:pPr>
      <w:numPr>
        <w:ilvl w:val="3"/>
        <w:numId w:val="1"/>
      </w:numPr>
      <w:spacing w:after="210"/>
      <w:outlineLvl w:val="3"/>
    </w:pPr>
  </w:style>
  <w:style w:type="paragraph" w:customStyle="1" w:styleId="Level5">
    <w:name w:val="Level 5"/>
    <w:basedOn w:val="Normalny"/>
    <w:next w:val="Normalny"/>
    <w:uiPriority w:val="4"/>
    <w:qFormat/>
    <w:rsid w:val="006F1C60"/>
    <w:pPr>
      <w:numPr>
        <w:ilvl w:val="4"/>
        <w:numId w:val="1"/>
      </w:numPr>
      <w:spacing w:after="210"/>
      <w:outlineLvl w:val="4"/>
    </w:pPr>
  </w:style>
  <w:style w:type="character" w:customStyle="1" w:styleId="Level2Char">
    <w:name w:val="Level 2 Char"/>
    <w:basedOn w:val="Body2Char"/>
    <w:link w:val="Level2"/>
    <w:uiPriority w:val="6"/>
    <w:rsid w:val="006F1C60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Body3Char"/>
    <w:link w:val="Level3"/>
    <w:uiPriority w:val="2"/>
    <w:rsid w:val="006F1C60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">
    <w:name w:val="header"/>
    <w:basedOn w:val="Normalny"/>
    <w:link w:val="NagwekZnak"/>
    <w:uiPriority w:val="13"/>
    <w:unhideWhenUsed/>
    <w:rsid w:val="006F1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13"/>
    <w:rsid w:val="006F1C60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Stopka">
    <w:name w:val="footer"/>
    <w:basedOn w:val="Normalny"/>
    <w:link w:val="StopkaZnak"/>
    <w:uiPriority w:val="13"/>
    <w:unhideWhenUsed/>
    <w:rsid w:val="006F1C60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13"/>
    <w:rsid w:val="006F1C60"/>
    <w:rPr>
      <w:rFonts w:ascii="Arial" w:eastAsia="Arial Unicode MS" w:hAnsi="Arial" w:cs="Times New Roman"/>
      <w:sz w:val="16"/>
      <w:szCs w:val="21"/>
      <w:lang w:val="en-GB" w:eastAsia="en-GB"/>
    </w:rPr>
  </w:style>
  <w:style w:type="paragraph" w:styleId="Tytu">
    <w:name w:val="Title"/>
    <w:basedOn w:val="Normalny"/>
    <w:next w:val="Normalny"/>
    <w:link w:val="TytuZnak"/>
    <w:uiPriority w:val="18"/>
    <w:rsid w:val="006F1C60"/>
    <w:pPr>
      <w:spacing w:after="210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6F1C60"/>
    <w:rPr>
      <w:rFonts w:ascii="Arial" w:eastAsiaTheme="majorEastAsia" w:hAnsi="Arial" w:cstheme="majorBidi"/>
      <w:b/>
      <w:smallCaps/>
      <w:spacing w:val="5"/>
      <w:kern w:val="28"/>
      <w:sz w:val="21"/>
      <w:szCs w:val="52"/>
      <w:lang w:val="en-GB" w:eastAsia="en-GB"/>
    </w:rPr>
  </w:style>
  <w:style w:type="paragraph" w:customStyle="1" w:styleId="Body2">
    <w:name w:val="Body 2"/>
    <w:basedOn w:val="Normalny"/>
    <w:link w:val="Body2Char"/>
    <w:qFormat/>
    <w:rsid w:val="006F1C60"/>
    <w:pPr>
      <w:spacing w:after="210"/>
      <w:ind w:left="709"/>
    </w:pPr>
  </w:style>
  <w:style w:type="paragraph" w:customStyle="1" w:styleId="Body3">
    <w:name w:val="Body 3"/>
    <w:basedOn w:val="Body2"/>
    <w:link w:val="Body3Char"/>
    <w:qFormat/>
    <w:rsid w:val="006F1C60"/>
    <w:pPr>
      <w:ind w:left="1418"/>
    </w:pPr>
  </w:style>
  <w:style w:type="character" w:customStyle="1" w:styleId="Body2Char">
    <w:name w:val="Body 2 Char"/>
    <w:basedOn w:val="Domylnaczcionkaakapitu"/>
    <w:link w:val="Body2"/>
    <w:rsid w:val="006F1C60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3Char">
    <w:name w:val="Body 3 Char"/>
    <w:basedOn w:val="Body2Char"/>
    <w:link w:val="Body3"/>
    <w:rsid w:val="006F1C60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C60"/>
    <w:rPr>
      <w:rFonts w:ascii="Arial" w:eastAsia="Arial Unicode MS" w:hAnsi="Arial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60"/>
    <w:pPr>
      <w:spacing w:line="264" w:lineRule="auto"/>
    </w:pPr>
    <w:rPr>
      <w:b/>
      <w:bCs/>
      <w:szCs w:val="2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C60"/>
    <w:rPr>
      <w:rFonts w:ascii="Arial" w:eastAsia="Arial Unicode MS" w:hAnsi="Arial" w:cs="Times New Roman"/>
      <w:b/>
      <w:bCs/>
      <w:sz w:val="20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62"/>
    <w:rPr>
      <w:rFonts w:ascii="Tahoma" w:eastAsia="Arial Unicode MS" w:hAnsi="Tahoma" w:cs="Tahoma"/>
      <w:sz w:val="16"/>
      <w:szCs w:val="16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962"/>
    <w:rPr>
      <w:sz w:val="16"/>
      <w:szCs w:val="16"/>
    </w:rPr>
  </w:style>
  <w:style w:type="paragraph" w:customStyle="1" w:styleId="Body1">
    <w:name w:val="Body 1"/>
    <w:basedOn w:val="Normalny"/>
    <w:link w:val="Body1Char"/>
    <w:qFormat/>
    <w:rsid w:val="001C0AAE"/>
    <w:pPr>
      <w:spacing w:after="210"/>
    </w:pPr>
  </w:style>
  <w:style w:type="character" w:customStyle="1" w:styleId="Body1Char">
    <w:name w:val="Body 1 Char"/>
    <w:basedOn w:val="Domylnaczcionkaakapitu"/>
    <w:link w:val="Body1"/>
    <w:rsid w:val="001C0AAE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B4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B41"/>
    <w:rPr>
      <w:rFonts w:ascii="Arial" w:eastAsia="Arial Unicode MS" w:hAnsi="Arial" w:cs="Times New Roman"/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B41"/>
    <w:rPr>
      <w:vertAlign w:val="superscript"/>
    </w:rPr>
  </w:style>
  <w:style w:type="paragraph" w:styleId="Poprawka">
    <w:name w:val="Revision"/>
    <w:hidden/>
    <w:uiPriority w:val="99"/>
    <w:semiHidden/>
    <w:rsid w:val="00641A76"/>
    <w:pPr>
      <w:spacing w:after="0" w:line="240" w:lineRule="auto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357DCF"/>
    <w:rPr>
      <w:rFonts w:ascii="Arial" w:eastAsia="Arial Unicode MS" w:hAnsi="Arial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ustomdocument xmlns="http://hoganlovells.com/word2010/custom">
  <fields>
    <field id="Author" dmfield="AUTHOR_ID" type="string">BRONIKOA</field>
    <field id="AuthorName" dmfield="" type="string"/>
    <field id="ClientNumber" dmfield="CLIENT_ID" type="string">153973</field>
    <field id="MatterNumber" dmfield="MATTER_ID" type="string">000010</field>
    <field id="DocumentType" dmfield="TYPE_ID" type="string">OTH</field>
    <field id="DocumentTitle" dmfield="DOCNAME" type="string"/>
    <field id="DocumentNumber" dmfield="DOCNUM" type="string">479930</field>
    <field id="Library" dmfield="" type="string">WARLIB01</field>
    <field id="Version" dmfield="" type="string">2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479930</field>
    <field id="FirstPageHeaded" dmfield="" type="">False</field>
    <field id="ContPage" dmfield="" type="">False</field>
    <field id="DraftSpacing" dmfield="" type="">False</field>
    <field id="DocID" dmfield="" type="">WARLIB01/BRONIKOA/479930.2</field>
    <field id="FirmName" dmfield="" type="">Hogan Lovells</field>
  </fields>
</custom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FDB6A725D91418AD7E95FFF41C881" ma:contentTypeVersion="16" ma:contentTypeDescription="Utwórz nowy dokument." ma:contentTypeScope="" ma:versionID="14d9da4265a2c95a64f5ca6f44627e77">
  <xsd:schema xmlns:xsd="http://www.w3.org/2001/XMLSchema" xmlns:xs="http://www.w3.org/2001/XMLSchema" xmlns:p="http://schemas.microsoft.com/office/2006/metadata/properties" xmlns:ns2="8b6479a6-c91e-44c4-b654-c793814f8484" xmlns:ns3="6078f260-38e6-42a6-bc2b-ad1d9b40f11e" targetNamespace="http://schemas.microsoft.com/office/2006/metadata/properties" ma:root="true" ma:fieldsID="b0c10846272a222cc77183f5686497da" ns2:_="" ns3:_="">
    <xsd:import namespace="8b6479a6-c91e-44c4-b654-c793814f8484"/>
    <xsd:import namespace="6078f260-38e6-42a6-bc2b-ad1d9b40f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79a6-c91e-44c4-b654-c793814f8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191bbd7-04ea-494a-ba18-f4afb6deb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f260-38e6-42a6-bc2b-ad1d9b40f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a9021-4989-45da-a440-53e0aec20f3f}" ma:internalName="TaxCatchAll" ma:showField="CatchAllData" ma:web="6078f260-38e6-42a6-bc2b-ad1d9b40f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22A6-0205-49EA-9069-8816CD3C5278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AF8F064F-F057-44BF-9DFE-70D778E8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6DBC5-1EC1-4712-B88C-701A062D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79a6-c91e-44c4-b654-c793814f8484"/>
    <ds:schemaRef ds:uri="6078f260-38e6-42a6-bc2b-ad1d9b40f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E13ED-892C-409B-930B-17B05076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Cieślak</dc:creator>
  <cp:keywords/>
  <dc:description/>
  <cp:lastModifiedBy>Emilia Miszewska</cp:lastModifiedBy>
  <cp:revision>12</cp:revision>
  <cp:lastPrinted>2024-07-08T12:29:00Z</cp:lastPrinted>
  <dcterms:created xsi:type="dcterms:W3CDTF">2024-05-20T09:50:00Z</dcterms:created>
  <dcterms:modified xsi:type="dcterms:W3CDTF">2024-08-05T12:50:00Z</dcterms:modified>
  <cp:category/>
</cp:coreProperties>
</file>