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6C9" w:rsidRDefault="009D06C9" w:rsidP="009D06C9">
      <w:pPr>
        <w:jc w:val="right"/>
        <w:rPr>
          <w:rFonts w:ascii="Segoe UI" w:hAnsi="Segoe UI" w:cs="Segoe UI"/>
          <w:b/>
          <w:sz w:val="18"/>
          <w:szCs w:val="18"/>
        </w:rPr>
      </w:pPr>
      <w:bookmarkStart w:id="0" w:name="_GoBack"/>
      <w:bookmarkEnd w:id="0"/>
      <w:r>
        <w:rPr>
          <w:rFonts w:ascii="Segoe UI" w:hAnsi="Segoe UI" w:cs="Segoe UI"/>
          <w:b/>
          <w:sz w:val="18"/>
          <w:szCs w:val="18"/>
        </w:rPr>
        <w:t xml:space="preserve">Załącznik do </w:t>
      </w:r>
      <w:r w:rsidR="00B81AC6">
        <w:rPr>
          <w:rFonts w:ascii="Segoe UI" w:hAnsi="Segoe UI" w:cs="Segoe UI"/>
          <w:b/>
          <w:sz w:val="18"/>
          <w:szCs w:val="18"/>
        </w:rPr>
        <w:t>karty N-04</w:t>
      </w:r>
    </w:p>
    <w:p w:rsidR="009D06C9" w:rsidRDefault="009D06C9">
      <w:pPr>
        <w:rPr>
          <w:b/>
        </w:rPr>
      </w:pPr>
    </w:p>
    <w:p w:rsidR="006F7407" w:rsidRPr="00B81AC6" w:rsidRDefault="00F664A8" w:rsidP="00B81AC6">
      <w:pPr>
        <w:jc w:val="both"/>
        <w:rPr>
          <w:rFonts w:ascii="Segoe UI" w:hAnsi="Segoe UI" w:cs="Segoe UI"/>
          <w:b/>
        </w:rPr>
      </w:pPr>
      <w:r w:rsidRPr="00B81AC6">
        <w:rPr>
          <w:rFonts w:ascii="Segoe UI" w:hAnsi="Segoe UI" w:cs="Segoe UI"/>
          <w:b/>
        </w:rPr>
        <w:t>Dodatkowe informacje</w:t>
      </w:r>
      <w:r w:rsidR="00B81AC6" w:rsidRPr="00B81AC6">
        <w:rPr>
          <w:rFonts w:ascii="Segoe UI" w:hAnsi="Segoe UI" w:cs="Segoe UI"/>
          <w:b/>
        </w:rPr>
        <w:t xml:space="preserve"> w sprawie sprzedaży nieruchomości na rzecz użytkownika wieczystego</w:t>
      </w:r>
    </w:p>
    <w:p w:rsidR="00F664A8" w:rsidRPr="00987AE3" w:rsidRDefault="00F664A8">
      <w:pPr>
        <w:rPr>
          <w:rFonts w:ascii="Segoe UI" w:hAnsi="Segoe UI" w:cs="Segoe UI"/>
        </w:rPr>
      </w:pPr>
    </w:p>
    <w:p w:rsidR="00F664A8" w:rsidRPr="00987AE3" w:rsidRDefault="00F664A8" w:rsidP="00824469">
      <w:pPr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  <w:r w:rsidRPr="00987AE3">
        <w:rPr>
          <w:rFonts w:ascii="Segoe UI" w:hAnsi="Segoe UI" w:cs="Segoe UI"/>
          <w:sz w:val="20"/>
          <w:szCs w:val="20"/>
        </w:rPr>
        <w:t xml:space="preserve">Zgodnie z obowiązującymi przepisami </w:t>
      </w:r>
      <w:r w:rsidR="00824469" w:rsidRPr="00987AE3">
        <w:rPr>
          <w:rFonts w:ascii="Segoe UI" w:hAnsi="Segoe UI" w:cs="Segoe UI"/>
          <w:sz w:val="20"/>
          <w:szCs w:val="20"/>
        </w:rPr>
        <w:t xml:space="preserve">ustawy </w:t>
      </w:r>
      <w:r w:rsidR="00824469" w:rsidRPr="00987AE3">
        <w:rPr>
          <w:rFonts w:ascii="Segoe UI" w:hAnsi="Segoe UI" w:cs="Segoe UI"/>
          <w:bCs/>
          <w:sz w:val="20"/>
        </w:rPr>
        <w:t xml:space="preserve">z dnia 21 sierpnia 1997 r. o gospodarce nieruchomościami (Dz. U. z 2024 r., poz. 1145) </w:t>
      </w:r>
      <w:r w:rsidRPr="00987AE3">
        <w:rPr>
          <w:rFonts w:ascii="Segoe UI" w:hAnsi="Segoe UI" w:cs="Segoe UI"/>
          <w:sz w:val="20"/>
          <w:szCs w:val="20"/>
        </w:rPr>
        <w:t>sprzedaż nieruchomości gruntowych na rzecz użytkowników</w:t>
      </w:r>
      <w:r w:rsidR="00824469" w:rsidRPr="00987AE3">
        <w:rPr>
          <w:rFonts w:ascii="Segoe UI" w:hAnsi="Segoe UI" w:cs="Segoe UI"/>
          <w:sz w:val="20"/>
          <w:szCs w:val="20"/>
        </w:rPr>
        <w:t xml:space="preserve"> wieczystych podlega realizacji w trybie </w:t>
      </w:r>
      <w:r w:rsidRPr="00987AE3">
        <w:rPr>
          <w:rFonts w:ascii="Segoe UI" w:hAnsi="Segoe UI" w:cs="Segoe UI"/>
          <w:b/>
          <w:sz w:val="20"/>
          <w:szCs w:val="20"/>
          <w:shd w:val="clear" w:color="auto" w:fill="FFFFFF"/>
        </w:rPr>
        <w:t xml:space="preserve">art. 32 </w:t>
      </w:r>
      <w:r w:rsidR="00824469" w:rsidRPr="00987AE3">
        <w:rPr>
          <w:rFonts w:ascii="Segoe UI" w:hAnsi="Segoe UI" w:cs="Segoe UI"/>
          <w:b/>
          <w:sz w:val="20"/>
          <w:szCs w:val="20"/>
          <w:shd w:val="clear" w:color="auto" w:fill="FFFFFF"/>
        </w:rPr>
        <w:t xml:space="preserve">ww. ustawy </w:t>
      </w:r>
      <w:r w:rsidRPr="00987AE3">
        <w:rPr>
          <w:rFonts w:ascii="Segoe UI" w:hAnsi="Segoe UI" w:cs="Segoe UI"/>
          <w:b/>
          <w:sz w:val="20"/>
          <w:szCs w:val="20"/>
          <w:shd w:val="clear" w:color="auto" w:fill="FFFFFF"/>
        </w:rPr>
        <w:t xml:space="preserve">– przepis fakultatywny oznacza </w:t>
      </w:r>
      <w:r w:rsidRPr="00987AE3">
        <w:rPr>
          <w:rFonts w:ascii="Segoe UI" w:hAnsi="Segoe UI" w:cs="Segoe UI"/>
          <w:b/>
          <w:sz w:val="20"/>
          <w:szCs w:val="20"/>
        </w:rPr>
        <w:t>możliwość sprzedaży, a nie obowiązek.</w:t>
      </w:r>
    </w:p>
    <w:p w:rsidR="00F664A8" w:rsidRPr="00987AE3" w:rsidRDefault="00F664A8" w:rsidP="00F664A8">
      <w:pPr>
        <w:spacing w:after="120" w:line="240" w:lineRule="auto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r w:rsidRPr="00987AE3">
        <w:rPr>
          <w:rFonts w:ascii="Segoe UI" w:hAnsi="Segoe UI" w:cs="Segoe UI"/>
          <w:sz w:val="20"/>
          <w:szCs w:val="20"/>
          <w:shd w:val="clear" w:color="auto" w:fill="FFFFFF"/>
        </w:rPr>
        <w:t>Sprawy prowadzone są na wniosek.</w:t>
      </w:r>
    </w:p>
    <w:p w:rsidR="00F664A8" w:rsidRPr="00987AE3" w:rsidRDefault="00F664A8" w:rsidP="00F664A8">
      <w:pPr>
        <w:spacing w:after="120" w:line="240" w:lineRule="auto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r w:rsidRPr="00987AE3">
        <w:rPr>
          <w:rFonts w:ascii="Segoe UI" w:hAnsi="Segoe UI" w:cs="Segoe UI"/>
          <w:sz w:val="20"/>
          <w:szCs w:val="20"/>
        </w:rPr>
        <w:t>Wprowadzono ustawowe ograniczenie czasowe tj. s</w:t>
      </w:r>
      <w:r w:rsidRPr="00987AE3">
        <w:rPr>
          <w:rFonts w:ascii="Segoe UI" w:hAnsi="Segoe UI" w:cs="Segoe UI"/>
          <w:sz w:val="20"/>
          <w:szCs w:val="20"/>
          <w:shd w:val="clear" w:color="auto" w:fill="FFFFFF"/>
        </w:rPr>
        <w:t xml:space="preserve">przedaż nieruchomości gruntowej na rzecz jej użytkownika wieczystego </w:t>
      </w:r>
      <w:r w:rsidRPr="00987AE3">
        <w:rPr>
          <w:rFonts w:ascii="Segoe UI" w:hAnsi="Segoe UI" w:cs="Segoe UI"/>
          <w:sz w:val="20"/>
          <w:szCs w:val="20"/>
          <w:u w:val="single"/>
          <w:shd w:val="clear" w:color="auto" w:fill="FFFFFF"/>
        </w:rPr>
        <w:t>nie może nastąpić przed upływem 10 lat</w:t>
      </w:r>
      <w:r w:rsidRPr="00987AE3">
        <w:rPr>
          <w:rFonts w:ascii="Segoe UI" w:hAnsi="Segoe UI" w:cs="Segoe UI"/>
          <w:sz w:val="20"/>
          <w:szCs w:val="20"/>
          <w:shd w:val="clear" w:color="auto" w:fill="FFFFFF"/>
        </w:rPr>
        <w:t xml:space="preserve"> od dnia zawarcia umowy o oddanie nieruchomości gruntowej w użytkowanie wieczyste;</w:t>
      </w:r>
    </w:p>
    <w:p w:rsidR="00000A73" w:rsidRPr="00987AE3" w:rsidRDefault="00000A73" w:rsidP="00000A73">
      <w:pPr>
        <w:pStyle w:val="Default"/>
        <w:jc w:val="both"/>
        <w:rPr>
          <w:sz w:val="20"/>
          <w:szCs w:val="20"/>
        </w:rPr>
      </w:pPr>
      <w:r w:rsidRPr="00987AE3">
        <w:rPr>
          <w:sz w:val="20"/>
          <w:szCs w:val="20"/>
        </w:rPr>
        <w:t>Na mocy art. 32 ust. 1b ust</w:t>
      </w:r>
      <w:r w:rsidR="00C55DA4" w:rsidRPr="00987AE3">
        <w:rPr>
          <w:sz w:val="20"/>
          <w:szCs w:val="20"/>
        </w:rPr>
        <w:t xml:space="preserve">awy </w:t>
      </w:r>
      <w:r w:rsidRPr="00987AE3">
        <w:rPr>
          <w:sz w:val="20"/>
          <w:szCs w:val="20"/>
        </w:rPr>
        <w:t xml:space="preserve">o gospodarce nieruchomościami </w:t>
      </w:r>
      <w:r w:rsidR="00C55DA4" w:rsidRPr="00987AE3">
        <w:rPr>
          <w:sz w:val="20"/>
          <w:szCs w:val="20"/>
          <w:shd w:val="clear" w:color="auto" w:fill="FFFFFF"/>
        </w:rPr>
        <w:t>w dniu</w:t>
      </w:r>
      <w:r w:rsidRPr="00987AE3">
        <w:rPr>
          <w:sz w:val="20"/>
          <w:szCs w:val="20"/>
          <w:shd w:val="clear" w:color="auto" w:fill="FFFFFF"/>
        </w:rPr>
        <w:t xml:space="preserve"> 23 listopada 2023 r. </w:t>
      </w:r>
      <w:r w:rsidRPr="00987AE3">
        <w:rPr>
          <w:sz w:val="20"/>
          <w:szCs w:val="20"/>
        </w:rPr>
        <w:t xml:space="preserve">podjęta została przez Radę Miejską w Koszalinie </w:t>
      </w:r>
      <w:r w:rsidRPr="00987AE3">
        <w:rPr>
          <w:sz w:val="20"/>
          <w:szCs w:val="20"/>
          <w:shd w:val="clear" w:color="auto" w:fill="FFFFFF"/>
        </w:rPr>
        <w:t>uchwała Nr LXX/983/2023</w:t>
      </w:r>
      <w:r w:rsidRPr="00987AE3">
        <w:rPr>
          <w:sz w:val="20"/>
          <w:szCs w:val="20"/>
        </w:rPr>
        <w:t xml:space="preserve"> określająca zasady przeznaczania do sprzedaży nieruchomości gruntowych oddanych w użytkowanie wiec</w:t>
      </w:r>
      <w:r w:rsidR="00896368" w:rsidRPr="00987AE3">
        <w:rPr>
          <w:sz w:val="20"/>
          <w:szCs w:val="20"/>
        </w:rPr>
        <w:t>zyste oraz szczegółowe wytyczne </w:t>
      </w:r>
      <w:r w:rsidRPr="00987AE3">
        <w:rPr>
          <w:sz w:val="20"/>
          <w:szCs w:val="20"/>
        </w:rPr>
        <w:t>sprzedaży nieruchomości gruntowych na rzecz ich użytkown</w:t>
      </w:r>
      <w:r w:rsidR="00C55DA4" w:rsidRPr="00987AE3">
        <w:rPr>
          <w:sz w:val="20"/>
          <w:szCs w:val="20"/>
        </w:rPr>
        <w:t>ików wieczystych (Dz. Urz. Woj. </w:t>
      </w:r>
      <w:r w:rsidRPr="00987AE3">
        <w:rPr>
          <w:sz w:val="20"/>
          <w:szCs w:val="20"/>
        </w:rPr>
        <w:t>Zachodniopomorskiego z 2023 r. poz. 6444).</w:t>
      </w:r>
    </w:p>
    <w:p w:rsidR="00000A73" w:rsidRPr="00987AE3" w:rsidRDefault="00000A73" w:rsidP="00000A73">
      <w:pPr>
        <w:pStyle w:val="Default"/>
        <w:jc w:val="both"/>
        <w:rPr>
          <w:sz w:val="20"/>
          <w:szCs w:val="20"/>
        </w:rPr>
      </w:pPr>
    </w:p>
    <w:p w:rsidR="00000A73" w:rsidRPr="00987AE3" w:rsidRDefault="00000A73" w:rsidP="00000A73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987AE3">
        <w:rPr>
          <w:rFonts w:ascii="Segoe UI" w:eastAsia="Tahoma" w:hAnsi="Segoe UI" w:cs="Segoe UI"/>
          <w:sz w:val="20"/>
          <w:szCs w:val="20"/>
        </w:rPr>
        <w:t>Zgodnie z § 2. ust. 1 powołanej uchwały, s</w:t>
      </w:r>
      <w:r w:rsidRPr="00987AE3">
        <w:rPr>
          <w:rFonts w:ascii="Segoe UI" w:hAnsi="Segoe UI" w:cs="Segoe UI"/>
          <w:sz w:val="20"/>
          <w:szCs w:val="20"/>
        </w:rPr>
        <w:t>przedaż nieruchomości gruntowej stanowiącej własność Gminy Miasto Koszalin na rzecz użytkownika wieczystego tej nieruchomości może nastąpić na wniosek użytkownika wieczystego, jedynie w przypadku łącznego spełnienia następujących warunków:</w:t>
      </w:r>
    </w:p>
    <w:p w:rsidR="00F664A8" w:rsidRPr="00987AE3" w:rsidRDefault="00F664A8" w:rsidP="00F664A8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987AE3">
        <w:rPr>
          <w:rFonts w:ascii="Segoe UI" w:eastAsia="Tahoma" w:hAnsi="Segoe UI" w:cs="Segoe UI"/>
          <w:sz w:val="20"/>
          <w:szCs w:val="20"/>
        </w:rPr>
        <w:t>Zgodnie z § 2. ust. 1 powołanej uchwały, s</w:t>
      </w:r>
      <w:r w:rsidRPr="00987AE3">
        <w:rPr>
          <w:rFonts w:ascii="Segoe UI" w:hAnsi="Segoe UI" w:cs="Segoe UI"/>
          <w:sz w:val="20"/>
          <w:szCs w:val="20"/>
        </w:rPr>
        <w:t>przedaż nieruchomości gruntowej stanowiącej własność Gminy Miasto Koszalin na rzecz użytkownika wieczystego tej nieruchomości może nastąpić na wniosek użytkownika wieczystego, jedynie w przypadku łącznego spełnienia następujących warunków:</w:t>
      </w:r>
    </w:p>
    <w:p w:rsidR="00F664A8" w:rsidRPr="00987AE3" w:rsidRDefault="00F664A8" w:rsidP="00F664A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987AE3">
        <w:rPr>
          <w:rFonts w:ascii="Segoe UI" w:hAnsi="Segoe UI" w:cs="Segoe UI"/>
          <w:sz w:val="20"/>
          <w:szCs w:val="20"/>
        </w:rPr>
        <w:t>nieruchomość gruntowa nie jest przeznaczona na potrzeby realizacji celów publicznych w miejscowym planie zagospodarowania przestrzennego albo, w razie jego braku, w Studium uwarunkowań i kierunków zagospodarowania przestrzennego Miasta Koszalina oraz nie jest objęta decyzją o ustaleniu lokalizacji inwestycji celu publicznego lub inną decyzją o zezwoleniu na realizację inwestycji publicznej wydaną w trybie przepisów szczególnych;</w:t>
      </w:r>
    </w:p>
    <w:p w:rsidR="00F664A8" w:rsidRPr="00987AE3" w:rsidRDefault="00F664A8" w:rsidP="00F664A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987AE3">
        <w:rPr>
          <w:rFonts w:ascii="Segoe UI" w:hAnsi="Segoe UI" w:cs="Segoe UI"/>
          <w:sz w:val="20"/>
          <w:szCs w:val="20"/>
          <w:shd w:val="clear" w:color="auto" w:fill="FFFFFF"/>
        </w:rPr>
        <w:t>nieruchomość gruntowa została zagospodarowana zgodnie z postanowieniami umowy o oddanie nieruchomości gruntowej w użytkowanie wieczyste lub innego aktu, na podstawie którego powstało prawo użytkowania wieczystego;</w:t>
      </w:r>
    </w:p>
    <w:p w:rsidR="00F664A8" w:rsidRPr="00987AE3" w:rsidRDefault="00F664A8" w:rsidP="00F664A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987AE3">
        <w:rPr>
          <w:rFonts w:ascii="Segoe UI" w:hAnsi="Segoe UI" w:cs="Segoe UI"/>
          <w:sz w:val="20"/>
          <w:szCs w:val="20"/>
        </w:rPr>
        <w:t>nieruchomość gruntowa nie jest wykorzystywana na prowadzeni</w:t>
      </w:r>
      <w:r w:rsidR="009D06C9" w:rsidRPr="00987AE3">
        <w:rPr>
          <w:rFonts w:ascii="Segoe UI" w:hAnsi="Segoe UI" w:cs="Segoe UI"/>
          <w:sz w:val="20"/>
          <w:szCs w:val="20"/>
        </w:rPr>
        <w:t>e rodzinnego ogrodu działkowego </w:t>
      </w:r>
      <w:r w:rsidRPr="00987AE3">
        <w:rPr>
          <w:rFonts w:ascii="Segoe UI" w:hAnsi="Segoe UI" w:cs="Segoe UI"/>
          <w:sz w:val="20"/>
          <w:szCs w:val="20"/>
        </w:rPr>
        <w:t>w rozumieniu art. 2 pkt 5 ustawy z dnia 13 grudnia 2013 r. o rodzinnych ogrodach działkowych (Dz. U. z 2021 r. poz. 1073);</w:t>
      </w:r>
    </w:p>
    <w:p w:rsidR="00F664A8" w:rsidRPr="00987AE3" w:rsidRDefault="00F664A8" w:rsidP="00F664A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987AE3">
        <w:rPr>
          <w:rFonts w:ascii="Segoe UI" w:hAnsi="Segoe UI" w:cs="Segoe UI"/>
          <w:sz w:val="20"/>
          <w:szCs w:val="20"/>
        </w:rPr>
        <w:t>użytkownik wieczysty nie posiada zaległości w regulowaniu zobowiązań z tytułu opłat rocznych za użytkowanie wieczyste oraz podatku od nieruchomości.</w:t>
      </w:r>
    </w:p>
    <w:p w:rsidR="00824469" w:rsidRPr="00987AE3" w:rsidRDefault="00824469" w:rsidP="00896368">
      <w:pPr>
        <w:spacing w:line="240" w:lineRule="auto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</w:p>
    <w:p w:rsidR="00F664A8" w:rsidRPr="00987AE3" w:rsidRDefault="00F664A8" w:rsidP="00F664A8">
      <w:pPr>
        <w:spacing w:after="120" w:line="240" w:lineRule="auto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r w:rsidRPr="00987AE3">
        <w:rPr>
          <w:rFonts w:ascii="Segoe UI" w:hAnsi="Segoe UI" w:cs="Segoe UI"/>
          <w:sz w:val="20"/>
          <w:szCs w:val="20"/>
          <w:shd w:val="clear" w:color="auto" w:fill="FFFFFF"/>
        </w:rPr>
        <w:t>W zakresie sprzedaży nieruchomości gruntowych wprowadzone zostały pojęcia nieruchomości  niewykorzystywanej do prowadzenia działalności gospodarczej i nieruchomości wykorzystywanej do prowadzenia działalności gospodarczej;</w:t>
      </w:r>
    </w:p>
    <w:p w:rsidR="00896368" w:rsidRPr="00987AE3" w:rsidRDefault="00896368" w:rsidP="00896368">
      <w:pPr>
        <w:spacing w:line="240" w:lineRule="auto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</w:p>
    <w:p w:rsidR="00000A73" w:rsidRPr="00987AE3" w:rsidRDefault="00F664A8" w:rsidP="00000A73">
      <w:pPr>
        <w:spacing w:after="120" w:line="240" w:lineRule="auto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r w:rsidRPr="00987AE3">
        <w:rPr>
          <w:rFonts w:ascii="Segoe UI" w:hAnsi="Segoe UI" w:cs="Segoe UI"/>
          <w:sz w:val="20"/>
          <w:szCs w:val="20"/>
          <w:shd w:val="clear" w:color="auto" w:fill="FFFFFF"/>
        </w:rPr>
        <w:t>Dla nieruchomości niewykorzystywanej do prowadzenia działalności gospodarczej</w:t>
      </w:r>
      <w:r w:rsidRPr="00987AE3">
        <w:rPr>
          <w:rFonts w:ascii="Segoe UI" w:hAnsi="Segoe UI" w:cs="Segoe UI"/>
          <w:sz w:val="20"/>
          <w:szCs w:val="20"/>
        </w:rPr>
        <w:t xml:space="preserve"> </w:t>
      </w:r>
      <w:r w:rsidRPr="00987AE3">
        <w:rPr>
          <w:rFonts w:ascii="Segoe UI" w:hAnsi="Segoe UI" w:cs="Segoe UI"/>
          <w:sz w:val="20"/>
          <w:szCs w:val="20"/>
          <w:shd w:val="clear" w:color="auto" w:fill="FFFFFF"/>
        </w:rPr>
        <w:t xml:space="preserve">zgodnie z art. 69 ust. 1 </w:t>
      </w:r>
      <w:r w:rsidR="00000A73" w:rsidRPr="00987AE3">
        <w:rPr>
          <w:rFonts w:ascii="Segoe UI" w:hAnsi="Segoe UI" w:cs="Segoe UI"/>
          <w:sz w:val="20"/>
          <w:szCs w:val="20"/>
        </w:rPr>
        <w:t xml:space="preserve">ustawy </w:t>
      </w:r>
      <w:r w:rsidR="00000A73" w:rsidRPr="00987AE3">
        <w:rPr>
          <w:rFonts w:ascii="Segoe UI" w:hAnsi="Segoe UI" w:cs="Segoe UI"/>
          <w:bCs/>
          <w:sz w:val="20"/>
        </w:rPr>
        <w:t xml:space="preserve">o gospodarce nieruchomościami, </w:t>
      </w:r>
      <w:r w:rsidRPr="00987AE3">
        <w:rPr>
          <w:rFonts w:ascii="Segoe UI" w:hAnsi="Segoe UI" w:cs="Segoe UI"/>
          <w:sz w:val="20"/>
          <w:szCs w:val="20"/>
          <w:shd w:val="clear" w:color="auto" w:fill="FFFFFF"/>
        </w:rPr>
        <w:t xml:space="preserve">cenę nieruchomości gruntowej </w:t>
      </w:r>
      <w:r w:rsidRPr="00987AE3">
        <w:rPr>
          <w:rFonts w:ascii="Segoe UI" w:hAnsi="Segoe UI" w:cs="Segoe UI"/>
          <w:sz w:val="20"/>
          <w:szCs w:val="20"/>
        </w:rPr>
        <w:t>ustala się jako dwudziestokrotność kwoty stanowiącej iloczyn dotychczasowej staw</w:t>
      </w:r>
      <w:r w:rsidR="00000A73" w:rsidRPr="00987AE3">
        <w:rPr>
          <w:rFonts w:ascii="Segoe UI" w:hAnsi="Segoe UI" w:cs="Segoe UI"/>
          <w:sz w:val="20"/>
          <w:szCs w:val="20"/>
        </w:rPr>
        <w:t>ki procentowej opłaty rocznej z </w:t>
      </w:r>
      <w:r w:rsidRPr="00987AE3">
        <w:rPr>
          <w:rFonts w:ascii="Segoe UI" w:hAnsi="Segoe UI" w:cs="Segoe UI"/>
          <w:sz w:val="20"/>
          <w:szCs w:val="20"/>
        </w:rPr>
        <w:t>tytułu użytkowania wieczystego oraz wartości nieruchomości gruntowej okr</w:t>
      </w:r>
      <w:r w:rsidR="00000A73" w:rsidRPr="00987AE3">
        <w:rPr>
          <w:rFonts w:ascii="Segoe UI" w:hAnsi="Segoe UI" w:cs="Segoe UI"/>
          <w:sz w:val="20"/>
          <w:szCs w:val="20"/>
        </w:rPr>
        <w:t>eślonej na dzień zawarcia umowy </w:t>
      </w:r>
      <w:r w:rsidRPr="00987AE3">
        <w:rPr>
          <w:rFonts w:ascii="Segoe UI" w:hAnsi="Segoe UI" w:cs="Segoe UI"/>
          <w:sz w:val="20"/>
          <w:szCs w:val="20"/>
        </w:rPr>
        <w:t>sprzedaży.</w:t>
      </w:r>
      <w:r w:rsidRPr="00987AE3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="00C55DA4" w:rsidRPr="00987AE3">
        <w:rPr>
          <w:rFonts w:ascii="Segoe UI" w:hAnsi="Segoe UI" w:cs="Segoe UI"/>
          <w:sz w:val="20"/>
          <w:szCs w:val="20"/>
          <w:shd w:val="clear" w:color="auto" w:fill="FFFFFF"/>
        </w:rPr>
        <w:br/>
      </w:r>
      <w:r w:rsidR="00000A73" w:rsidRPr="00987AE3">
        <w:rPr>
          <w:rFonts w:ascii="Segoe UI" w:hAnsi="Segoe UI" w:cs="Segoe UI"/>
          <w:sz w:val="20"/>
          <w:szCs w:val="20"/>
        </w:rPr>
        <w:t>[20 x (stawka procentowa opłaty rocznej x wartość nieruchomości gruntowej)]</w:t>
      </w:r>
      <w:r w:rsidR="007109D6" w:rsidRPr="00987AE3">
        <w:rPr>
          <w:rFonts w:ascii="Segoe UI" w:hAnsi="Segoe UI" w:cs="Segoe UI"/>
          <w:sz w:val="20"/>
          <w:szCs w:val="20"/>
        </w:rPr>
        <w:t xml:space="preserve"> </w:t>
      </w:r>
      <w:r w:rsidR="00C55DA4" w:rsidRPr="00987AE3">
        <w:rPr>
          <w:rFonts w:ascii="Segoe UI" w:hAnsi="Segoe UI" w:cs="Segoe UI"/>
          <w:sz w:val="20"/>
          <w:szCs w:val="20"/>
        </w:rPr>
        <w:t>≤ cena ≤ wartość nieruchomości gruntowej</w:t>
      </w:r>
    </w:p>
    <w:p w:rsidR="00000A73" w:rsidRPr="00987AE3" w:rsidRDefault="00000A73" w:rsidP="00F664A8">
      <w:pPr>
        <w:spacing w:after="120" w:line="240" w:lineRule="auto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</w:p>
    <w:p w:rsidR="00C55DA4" w:rsidRPr="00987AE3" w:rsidRDefault="00F664A8" w:rsidP="00896368">
      <w:pPr>
        <w:spacing w:line="240" w:lineRule="auto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r w:rsidRPr="00987AE3">
        <w:rPr>
          <w:rFonts w:ascii="Segoe UI" w:hAnsi="Segoe UI" w:cs="Segoe UI"/>
          <w:sz w:val="20"/>
          <w:szCs w:val="20"/>
          <w:shd w:val="clear" w:color="auto" w:fill="FFFFFF"/>
        </w:rPr>
        <w:t xml:space="preserve">Natomiast w odniesieniu do nieruchomości </w:t>
      </w:r>
      <w:r w:rsidR="00000A73" w:rsidRPr="00987AE3">
        <w:rPr>
          <w:rFonts w:ascii="Segoe UI" w:hAnsi="Segoe UI" w:cs="Segoe UI"/>
          <w:sz w:val="20"/>
          <w:szCs w:val="20"/>
          <w:shd w:val="clear" w:color="auto" w:fill="FFFFFF"/>
        </w:rPr>
        <w:t>wykorzystywanej do prowadzenia działalności gospodarczej</w:t>
      </w:r>
      <w:r w:rsidR="00000A73" w:rsidRPr="00987AE3">
        <w:rPr>
          <w:rFonts w:ascii="Segoe UI" w:hAnsi="Segoe UI" w:cs="Segoe UI"/>
          <w:sz w:val="20"/>
          <w:szCs w:val="20"/>
        </w:rPr>
        <w:t>, zgodnie z postanowieniami powołanej wyżej uchwały Rady Miejskiej w Kos</w:t>
      </w:r>
      <w:r w:rsidR="00C40933">
        <w:rPr>
          <w:rFonts w:ascii="Segoe UI" w:hAnsi="Segoe UI" w:cs="Segoe UI"/>
          <w:sz w:val="20"/>
          <w:szCs w:val="20"/>
        </w:rPr>
        <w:t>zalinie, w związku art. 69 ust. </w:t>
      </w:r>
      <w:r w:rsidR="00000A73" w:rsidRPr="00987AE3">
        <w:rPr>
          <w:rFonts w:ascii="Segoe UI" w:hAnsi="Segoe UI" w:cs="Segoe UI"/>
          <w:sz w:val="20"/>
          <w:szCs w:val="20"/>
        </w:rPr>
        <w:t>2 ww. ustawy, cenę nieruchomości gruntowej ustala się w wysokości nie niższej niż pięćdziesięciokrotność kwoty stanowiącej iloczyn dotychczasowej stawki procentowej opłaty rocznej z tytułu użytkowania wieczystego oraz wartości nieruchomości gruntowej określonej na dzień zawarcia umowy sprzedaży, jednak nie wyższej niż wartość nieruchomości gruntowej określona na dzień zawarcia umowy sprzedaży.</w:t>
      </w:r>
      <w:r w:rsidR="00000A73" w:rsidRPr="00987AE3">
        <w:rPr>
          <w:rFonts w:ascii="Segoe UI" w:hAnsi="Segoe UI" w:cs="Segoe UI"/>
          <w:sz w:val="20"/>
          <w:szCs w:val="20"/>
        </w:rPr>
        <w:br/>
        <w:t>[50 x (stawka procentowa opłaty rocznej x wartość nieruchomości gruntowej)]</w:t>
      </w:r>
      <w:r w:rsidR="00C55DA4" w:rsidRPr="00987AE3">
        <w:rPr>
          <w:rFonts w:ascii="Segoe UI" w:hAnsi="Segoe UI" w:cs="Segoe UI"/>
          <w:sz w:val="20"/>
          <w:szCs w:val="20"/>
        </w:rPr>
        <w:t xml:space="preserve"> ≤ cena ≤ wartość nieruchomości gruntowej</w:t>
      </w:r>
    </w:p>
    <w:p w:rsidR="00000A73" w:rsidRPr="00987AE3" w:rsidRDefault="00000A73" w:rsidP="00896368">
      <w:pPr>
        <w:spacing w:line="240" w:lineRule="auto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</w:p>
    <w:p w:rsidR="00F664A8" w:rsidRPr="00987AE3" w:rsidRDefault="00F664A8" w:rsidP="00896368">
      <w:pPr>
        <w:spacing w:line="240" w:lineRule="auto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r w:rsidRPr="00987AE3">
        <w:rPr>
          <w:rFonts w:ascii="Segoe UI" w:hAnsi="Segoe UI" w:cs="Segoe UI"/>
          <w:sz w:val="20"/>
          <w:szCs w:val="20"/>
          <w:shd w:val="clear" w:color="auto" w:fill="FFFFFF"/>
        </w:rPr>
        <w:t xml:space="preserve">Przy sprzedaży nieruchomości gruntowych ich użytkownikom wieczystym uwzględnia się przepisy o pomocy publicznej. Udzielenie pomocy publicznej wymaga spełnienia warunków udzielenia pomocy de </w:t>
      </w:r>
      <w:proofErr w:type="spellStart"/>
      <w:r w:rsidRPr="00987AE3">
        <w:rPr>
          <w:rFonts w:ascii="Segoe UI" w:hAnsi="Segoe UI" w:cs="Segoe UI"/>
          <w:sz w:val="20"/>
          <w:szCs w:val="20"/>
          <w:shd w:val="clear" w:color="auto" w:fill="FFFFFF"/>
        </w:rPr>
        <w:t>minimis</w:t>
      </w:r>
      <w:proofErr w:type="spellEnd"/>
      <w:r w:rsidRPr="00987AE3">
        <w:rPr>
          <w:rFonts w:ascii="Segoe UI" w:hAnsi="Segoe UI" w:cs="Segoe UI"/>
          <w:sz w:val="20"/>
          <w:szCs w:val="20"/>
          <w:shd w:val="clear" w:color="auto" w:fill="FFFFFF"/>
        </w:rPr>
        <w:t xml:space="preserve"> określonych we właściwych przepisach prawa Unii Europejskiej dotyczących pomocy de </w:t>
      </w:r>
      <w:proofErr w:type="spellStart"/>
      <w:r w:rsidRPr="00987AE3">
        <w:rPr>
          <w:rFonts w:ascii="Segoe UI" w:hAnsi="Segoe UI" w:cs="Segoe UI"/>
          <w:sz w:val="20"/>
          <w:szCs w:val="20"/>
          <w:shd w:val="clear" w:color="auto" w:fill="FFFFFF"/>
        </w:rPr>
        <w:t>minimis</w:t>
      </w:r>
      <w:proofErr w:type="spellEnd"/>
      <w:r w:rsidRPr="00987AE3">
        <w:rPr>
          <w:rFonts w:ascii="Segoe UI" w:hAnsi="Segoe UI" w:cs="Segoe UI"/>
          <w:sz w:val="20"/>
          <w:szCs w:val="20"/>
          <w:shd w:val="clear" w:color="auto" w:fill="FFFFFF"/>
        </w:rPr>
        <w:t>.</w:t>
      </w:r>
      <w:r w:rsidR="00000A73" w:rsidRPr="00987AE3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Pr="00987AE3">
        <w:rPr>
          <w:rFonts w:ascii="Segoe UI" w:hAnsi="Segoe UI" w:cs="Segoe UI"/>
          <w:sz w:val="20"/>
          <w:szCs w:val="20"/>
        </w:rPr>
        <w:t>W przypadku nieruchomości gruntowej wykorzystywanej do prowadzenia działalności gospodarczej, sprzedawanej jej użytkownikowi wieczystemu, za dzień udzielenia pomocy publicznej uznaje się dzień zawarcia umowy sprzedaży. Wartość pomocy publicznej odp</w:t>
      </w:r>
      <w:r w:rsidR="00000A73" w:rsidRPr="00987AE3">
        <w:rPr>
          <w:rFonts w:ascii="Segoe UI" w:hAnsi="Segoe UI" w:cs="Segoe UI"/>
          <w:sz w:val="20"/>
          <w:szCs w:val="20"/>
        </w:rPr>
        <w:t>owiada różnicy między wartością nieruchomości gruntowej, a ceną tej </w:t>
      </w:r>
      <w:r w:rsidRPr="00987AE3">
        <w:rPr>
          <w:rFonts w:ascii="Segoe UI" w:hAnsi="Segoe UI" w:cs="Segoe UI"/>
          <w:sz w:val="20"/>
          <w:szCs w:val="20"/>
        </w:rPr>
        <w:t>nieruchomości.</w:t>
      </w:r>
      <w:r w:rsidR="00000A73" w:rsidRPr="00987AE3">
        <w:rPr>
          <w:rFonts w:ascii="Segoe UI" w:hAnsi="Segoe UI" w:cs="Segoe UI"/>
          <w:sz w:val="20"/>
          <w:szCs w:val="20"/>
          <w:shd w:val="clear" w:color="auto" w:fill="FFFFFF"/>
        </w:rPr>
        <w:br/>
      </w:r>
      <w:r w:rsidRPr="00987AE3">
        <w:rPr>
          <w:rFonts w:ascii="Segoe UI" w:hAnsi="Segoe UI" w:cs="Segoe UI"/>
          <w:sz w:val="20"/>
          <w:szCs w:val="20"/>
        </w:rPr>
        <w:t xml:space="preserve">Gdy wartość pomocy publicznej przekracza limit pomocy de </w:t>
      </w:r>
      <w:proofErr w:type="spellStart"/>
      <w:r w:rsidRPr="00987AE3">
        <w:rPr>
          <w:rFonts w:ascii="Segoe UI" w:hAnsi="Segoe UI" w:cs="Segoe UI"/>
          <w:sz w:val="20"/>
          <w:szCs w:val="20"/>
        </w:rPr>
        <w:t>minimis</w:t>
      </w:r>
      <w:proofErr w:type="spellEnd"/>
      <w:r w:rsidRPr="00987AE3">
        <w:rPr>
          <w:rFonts w:ascii="Segoe UI" w:hAnsi="Segoe UI" w:cs="Segoe UI"/>
          <w:sz w:val="20"/>
          <w:szCs w:val="20"/>
        </w:rPr>
        <w:t>, pomocy udziela się do tego limitu i stosuje się dopłatę do wartości nieruchomości gruntowej przyjętej do ustalenia jej ceny. Wysokość dopłaty jest ustalana w umowie sprzedaży nieruchomości gruntowej.</w:t>
      </w:r>
    </w:p>
    <w:p w:rsidR="00F664A8" w:rsidRPr="00987AE3" w:rsidRDefault="00F664A8" w:rsidP="00896368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</w:p>
    <w:p w:rsidR="00F664A8" w:rsidRPr="00987AE3" w:rsidRDefault="00F664A8" w:rsidP="00896368">
      <w:pPr>
        <w:spacing w:line="240" w:lineRule="auto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r w:rsidRPr="00987AE3">
        <w:rPr>
          <w:rFonts w:ascii="Segoe UI" w:hAnsi="Segoe UI" w:cs="Segoe UI"/>
          <w:sz w:val="20"/>
          <w:szCs w:val="20"/>
          <w:shd w:val="clear" w:color="auto" w:fill="FFFFFF"/>
        </w:rPr>
        <w:t>W zakresie opodatkowania podatkiem VAT sprzedaży nieruchomości gruntowych na rzecz ich użytkowników wieczystych, w przypadku gdy prawo użytkowania wieczystego ustanowione zostało:</w:t>
      </w:r>
    </w:p>
    <w:p w:rsidR="00F664A8" w:rsidRPr="00987AE3" w:rsidRDefault="00F664A8" w:rsidP="00F664A8">
      <w:pPr>
        <w:spacing w:line="240" w:lineRule="auto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r w:rsidRPr="00987AE3">
        <w:rPr>
          <w:rFonts w:ascii="Segoe UI" w:hAnsi="Segoe UI" w:cs="Segoe UI"/>
          <w:sz w:val="20"/>
          <w:szCs w:val="20"/>
          <w:shd w:val="clear" w:color="auto" w:fill="FFFFFF"/>
        </w:rPr>
        <w:t>- przed dniem 31.04.2004 r. – dla każdej realizowanej transakcji Gmina Miasto Koszalin wystąpi o wydanie indywidualnej interpretacji podatkowej,</w:t>
      </w:r>
    </w:p>
    <w:p w:rsidR="00F664A8" w:rsidRPr="00987AE3" w:rsidRDefault="00F664A8" w:rsidP="00F664A8">
      <w:pPr>
        <w:spacing w:line="240" w:lineRule="auto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r w:rsidRPr="00987AE3">
        <w:rPr>
          <w:rFonts w:ascii="Segoe UI" w:hAnsi="Segoe UI" w:cs="Segoe UI"/>
          <w:sz w:val="20"/>
          <w:szCs w:val="20"/>
          <w:shd w:val="clear" w:color="auto" w:fill="FFFFFF"/>
        </w:rPr>
        <w:t xml:space="preserve">- po dniu 01.05.2004 r. -  </w:t>
      </w:r>
      <w:r w:rsidR="00824469" w:rsidRPr="00987AE3">
        <w:rPr>
          <w:rFonts w:ascii="Segoe UI" w:hAnsi="Segoe UI" w:cs="Segoe UI"/>
          <w:sz w:val="20"/>
          <w:szCs w:val="20"/>
          <w:shd w:val="clear" w:color="auto" w:fill="FFFFFF"/>
        </w:rPr>
        <w:t>t</w:t>
      </w:r>
      <w:r w:rsidRPr="00987AE3">
        <w:rPr>
          <w:rFonts w:ascii="Segoe UI" w:hAnsi="Segoe UI" w:cs="Segoe UI"/>
          <w:sz w:val="20"/>
          <w:szCs w:val="20"/>
          <w:shd w:val="clear" w:color="auto" w:fill="FFFFFF"/>
        </w:rPr>
        <w:t>ransakcja podlega opodatkowaniu podatkiem VAT w wysokości 23 %.</w:t>
      </w:r>
    </w:p>
    <w:p w:rsidR="00F664A8" w:rsidRPr="00987AE3" w:rsidRDefault="00F664A8" w:rsidP="00F664A8">
      <w:pPr>
        <w:spacing w:after="12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F664A8" w:rsidRPr="00F664A8" w:rsidRDefault="00F664A8">
      <w:pPr>
        <w:rPr>
          <w:rFonts w:ascii="Segoe UI" w:hAnsi="Segoe UI" w:cs="Segoe UI"/>
          <w:sz w:val="20"/>
          <w:szCs w:val="20"/>
        </w:rPr>
      </w:pPr>
    </w:p>
    <w:sectPr w:rsidR="00F664A8" w:rsidRPr="00F66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55B63"/>
    <w:multiLevelType w:val="hybridMultilevel"/>
    <w:tmpl w:val="7D127BE4"/>
    <w:lvl w:ilvl="0" w:tplc="1A9AF084">
      <w:start w:val="1"/>
      <w:numFmt w:val="decimal"/>
      <w:lvlText w:val="%1)"/>
      <w:lvlJc w:val="left"/>
      <w:pPr>
        <w:ind w:left="847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169C7"/>
    <w:multiLevelType w:val="hybridMultilevel"/>
    <w:tmpl w:val="6BB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A8"/>
    <w:rsid w:val="00000A73"/>
    <w:rsid w:val="006F7407"/>
    <w:rsid w:val="007109D6"/>
    <w:rsid w:val="00824469"/>
    <w:rsid w:val="00896368"/>
    <w:rsid w:val="00987AE3"/>
    <w:rsid w:val="009D06C9"/>
    <w:rsid w:val="00B81AC6"/>
    <w:rsid w:val="00C40933"/>
    <w:rsid w:val="00C55DA4"/>
    <w:rsid w:val="00F664A8"/>
    <w:rsid w:val="00F9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3BAA0-5530-4339-A973-4E93538F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664A8"/>
    <w:pPr>
      <w:keepNext/>
      <w:widowControl w:val="0"/>
      <w:overflowPunct w:val="0"/>
      <w:autoSpaceDE w:val="0"/>
      <w:autoSpaceDN w:val="0"/>
      <w:adjustRightInd w:val="0"/>
      <w:spacing w:line="240" w:lineRule="auto"/>
      <w:ind w:left="5664"/>
      <w:jc w:val="right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4A8"/>
    <w:pPr>
      <w:spacing w:after="160" w:line="25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664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00A73"/>
    <w:pPr>
      <w:autoSpaceDE w:val="0"/>
      <w:autoSpaceDN w:val="0"/>
      <w:adjustRightInd w:val="0"/>
      <w:spacing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mwe-math-mathml-inline">
    <w:name w:val="mwe-math-mathml-inline"/>
    <w:basedOn w:val="Domylnaczcionkaakapitu"/>
    <w:rsid w:val="00C55DA4"/>
  </w:style>
  <w:style w:type="paragraph" w:styleId="Tekstdymka">
    <w:name w:val="Balloon Text"/>
    <w:basedOn w:val="Normalny"/>
    <w:link w:val="TekstdymkaZnak"/>
    <w:uiPriority w:val="99"/>
    <w:semiHidden/>
    <w:unhideWhenUsed/>
    <w:rsid w:val="00B81A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2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Walos</dc:creator>
  <cp:keywords/>
  <dc:description/>
  <cp:lastModifiedBy>Agnieszka Białous</cp:lastModifiedBy>
  <cp:revision>2</cp:revision>
  <cp:lastPrinted>2024-09-02T10:14:00Z</cp:lastPrinted>
  <dcterms:created xsi:type="dcterms:W3CDTF">2024-09-02T11:27:00Z</dcterms:created>
  <dcterms:modified xsi:type="dcterms:W3CDTF">2024-09-02T11:27:00Z</dcterms:modified>
</cp:coreProperties>
</file>